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bidi w:val="0"/>
        <w:spacing w:line="600" w:lineRule="exact"/>
        <w:jc w:val="center"/>
        <w:rPr>
          <w:rFonts w:eastAsia="黑体" w:cs="宋体"/>
          <w:b/>
          <w:sz w:val="52"/>
          <w:szCs w:val="52"/>
          <w:u w:val="none"/>
        </w:rPr>
      </w:pPr>
    </w:p>
    <w:p>
      <w:pPr>
        <w:pageBreakBefore w:val="0"/>
        <w:kinsoku/>
        <w:wordWrap/>
        <w:overflowPunct/>
        <w:topLinePunct w:val="0"/>
        <w:bidi w:val="0"/>
        <w:spacing w:line="600" w:lineRule="exact"/>
        <w:jc w:val="center"/>
        <w:rPr>
          <w:rFonts w:eastAsia="黑体" w:cs="宋体"/>
          <w:b/>
          <w:sz w:val="52"/>
          <w:szCs w:val="52"/>
          <w:u w:val="none"/>
        </w:rPr>
      </w:pPr>
    </w:p>
    <w:p>
      <w:pPr>
        <w:pageBreakBefore w:val="0"/>
        <w:kinsoku/>
        <w:wordWrap/>
        <w:overflowPunct/>
        <w:topLinePunct w:val="0"/>
        <w:bidi w:val="0"/>
        <w:spacing w:line="600" w:lineRule="exact"/>
        <w:jc w:val="left"/>
        <w:rPr>
          <w:rFonts w:ascii="黑体" w:hAnsi="黑体" w:eastAsia="黑体" w:cs="黑体"/>
          <w:b/>
          <w:bCs/>
          <w:sz w:val="32"/>
          <w:szCs w:val="32"/>
          <w:u w:val="none"/>
        </w:rPr>
      </w:pPr>
    </w:p>
    <w:p>
      <w:pPr>
        <w:pageBreakBefore w:val="0"/>
        <w:kinsoku/>
        <w:wordWrap/>
        <w:overflowPunct/>
        <w:topLinePunct w:val="0"/>
        <w:bidi w:val="0"/>
        <w:spacing w:line="600" w:lineRule="exact"/>
        <w:jc w:val="left"/>
        <w:rPr>
          <w:rFonts w:ascii="Arial" w:hAnsi="Arial" w:eastAsia="Symbol"/>
          <w:b/>
          <w:bCs/>
          <w:sz w:val="32"/>
          <w:szCs w:val="32"/>
          <w:u w:val="none"/>
        </w:rPr>
      </w:pPr>
    </w:p>
    <w:p>
      <w:pPr>
        <w:pageBreakBefore w:val="0"/>
        <w:kinsoku/>
        <w:wordWrap/>
        <w:overflowPunct/>
        <w:topLinePunct w:val="0"/>
        <w:bidi w:val="0"/>
        <w:spacing w:line="600" w:lineRule="exact"/>
        <w:jc w:val="center"/>
        <w:rPr>
          <w:rFonts w:ascii="Arial" w:hAnsi="Arial" w:eastAsia="宋体"/>
          <w:b/>
          <w:bCs/>
          <w:sz w:val="32"/>
          <w:szCs w:val="32"/>
          <w:u w:val="none"/>
        </w:rPr>
      </w:pPr>
    </w:p>
    <w:p>
      <w:pPr>
        <w:pageBreakBefore w:val="0"/>
        <w:kinsoku/>
        <w:wordWrap/>
        <w:overflowPunct/>
        <w:topLinePunct w:val="0"/>
        <w:bidi w:val="0"/>
        <w:spacing w:line="600" w:lineRule="exact"/>
        <w:jc w:val="center"/>
        <w:rPr>
          <w:rFonts w:ascii="Arial" w:hAnsi="Arial" w:eastAsia="宋体"/>
          <w:b/>
          <w:bCs/>
          <w:sz w:val="32"/>
          <w:szCs w:val="32"/>
          <w:u w:val="none"/>
        </w:rPr>
      </w:pPr>
    </w:p>
    <w:p>
      <w:pPr>
        <w:pageBreakBefore w:val="0"/>
        <w:kinsoku/>
        <w:wordWrap/>
        <w:overflowPunct/>
        <w:topLinePunct w:val="0"/>
        <w:bidi w:val="0"/>
        <w:spacing w:line="600" w:lineRule="exact"/>
        <w:jc w:val="center"/>
        <w:rPr>
          <w:rFonts w:ascii="Arial" w:hAnsi="Arial" w:eastAsia="宋体"/>
          <w:b/>
          <w:bCs/>
          <w:sz w:val="32"/>
          <w:szCs w:val="32"/>
          <w:u w:val="none"/>
        </w:rPr>
      </w:pPr>
    </w:p>
    <w:p>
      <w:pPr>
        <w:pageBreakBefore w:val="0"/>
        <w:kinsoku/>
        <w:wordWrap/>
        <w:overflowPunct/>
        <w:topLinePunct w:val="0"/>
        <w:bidi w:val="0"/>
        <w:spacing w:line="600" w:lineRule="exact"/>
        <w:jc w:val="center"/>
        <w:rPr>
          <w:rFonts w:hint="eastAsia" w:ascii="方正小标宋简体" w:hAnsi="方正小标宋简体" w:eastAsia="方正小标宋简体" w:cs="方正小标宋简体"/>
          <w:b w:val="0"/>
          <w:bCs w:val="0"/>
          <w:sz w:val="44"/>
          <w:szCs w:val="44"/>
          <w:u w:val="none"/>
        </w:rPr>
      </w:pPr>
      <w:r>
        <w:rPr>
          <w:rFonts w:hint="eastAsia" w:ascii="方正小标宋简体" w:hAnsi="方正小标宋简体" w:eastAsia="方正小标宋简体" w:cs="方正小标宋简体"/>
          <w:b w:val="0"/>
          <w:bCs w:val="0"/>
          <w:sz w:val="44"/>
          <w:szCs w:val="44"/>
          <w:u w:val="none"/>
          <w:lang w:val="en-US" w:eastAsia="zh-CN"/>
        </w:rPr>
        <w:t>2024</w:t>
      </w:r>
      <w:r>
        <w:rPr>
          <w:rFonts w:hint="eastAsia" w:ascii="方正小标宋简体" w:hAnsi="方正小标宋简体" w:eastAsia="方正小标宋简体" w:cs="方正小标宋简体"/>
          <w:b w:val="0"/>
          <w:bCs w:val="0"/>
          <w:sz w:val="44"/>
          <w:szCs w:val="44"/>
          <w:u w:val="none"/>
        </w:rPr>
        <w:t>年度</w:t>
      </w:r>
      <w:r>
        <w:rPr>
          <w:rFonts w:hint="eastAsia" w:ascii="方正小标宋简体" w:hAnsi="方正小标宋简体" w:eastAsia="方正小标宋简体" w:cs="方正小标宋简体"/>
          <w:b w:val="0"/>
          <w:bCs w:val="0"/>
          <w:sz w:val="44"/>
          <w:szCs w:val="44"/>
          <w:u w:val="none"/>
          <w:lang w:val="en-US" w:eastAsia="zh-CN"/>
        </w:rPr>
        <w:t>包头市口岸服务中心</w:t>
      </w:r>
      <w:r>
        <w:rPr>
          <w:rFonts w:hint="eastAsia" w:ascii="方正小标宋简体" w:hAnsi="方正小标宋简体" w:eastAsia="方正小标宋简体" w:cs="方正小标宋简体"/>
          <w:b w:val="0"/>
          <w:bCs w:val="0"/>
          <w:sz w:val="44"/>
          <w:szCs w:val="44"/>
          <w:u w:val="none"/>
        </w:rPr>
        <w:t>预算公开</w:t>
      </w:r>
    </w:p>
    <w:p>
      <w:pPr>
        <w:pageBreakBefore w:val="0"/>
        <w:kinsoku/>
        <w:wordWrap/>
        <w:overflowPunct/>
        <w:topLinePunct w:val="0"/>
        <w:bidi w:val="0"/>
        <w:adjustRightInd w:val="0"/>
        <w:snapToGrid w:val="0"/>
        <w:spacing w:line="600" w:lineRule="exact"/>
        <w:ind w:firstLine="640"/>
        <w:rPr>
          <w:rFonts w:ascii="仿宋" w:hAnsi="仿宋" w:eastAsia="仿宋"/>
          <w:sz w:val="32"/>
          <w:szCs w:val="32"/>
          <w:u w:val="none"/>
        </w:rPr>
      </w:pPr>
    </w:p>
    <w:p>
      <w:pPr>
        <w:pageBreakBefore w:val="0"/>
        <w:kinsoku/>
        <w:wordWrap/>
        <w:overflowPunct/>
        <w:topLinePunct w:val="0"/>
        <w:bidi w:val="0"/>
        <w:adjustRightInd w:val="0"/>
        <w:snapToGrid w:val="0"/>
        <w:spacing w:line="600" w:lineRule="exact"/>
        <w:ind w:firstLine="640"/>
        <w:rPr>
          <w:rFonts w:ascii="仿宋" w:hAnsi="仿宋" w:eastAsia="仿宋"/>
          <w:sz w:val="32"/>
          <w:szCs w:val="32"/>
          <w:u w:val="none"/>
        </w:rPr>
      </w:pPr>
    </w:p>
    <w:p>
      <w:pPr>
        <w:pageBreakBefore w:val="0"/>
        <w:kinsoku/>
        <w:wordWrap/>
        <w:overflowPunct/>
        <w:topLinePunct w:val="0"/>
        <w:bidi w:val="0"/>
        <w:adjustRightInd w:val="0"/>
        <w:snapToGrid w:val="0"/>
        <w:spacing w:line="600" w:lineRule="exact"/>
        <w:ind w:firstLine="640"/>
        <w:rPr>
          <w:rFonts w:ascii="仿宋" w:hAnsi="仿宋" w:eastAsia="仿宋"/>
          <w:sz w:val="32"/>
          <w:szCs w:val="32"/>
          <w:u w:val="none"/>
        </w:rPr>
      </w:pPr>
    </w:p>
    <w:p>
      <w:pPr>
        <w:pageBreakBefore w:val="0"/>
        <w:kinsoku/>
        <w:wordWrap/>
        <w:overflowPunct/>
        <w:topLinePunct w:val="0"/>
        <w:bidi w:val="0"/>
        <w:adjustRightInd w:val="0"/>
        <w:snapToGrid w:val="0"/>
        <w:spacing w:line="600" w:lineRule="exact"/>
        <w:ind w:firstLine="640"/>
        <w:rPr>
          <w:rFonts w:ascii="仿宋" w:hAnsi="仿宋" w:eastAsia="仿宋"/>
          <w:sz w:val="32"/>
          <w:szCs w:val="32"/>
          <w:u w:val="none"/>
        </w:rPr>
      </w:pPr>
    </w:p>
    <w:p>
      <w:pPr>
        <w:pageBreakBefore w:val="0"/>
        <w:kinsoku/>
        <w:wordWrap/>
        <w:overflowPunct/>
        <w:topLinePunct w:val="0"/>
        <w:bidi w:val="0"/>
        <w:adjustRightInd w:val="0"/>
        <w:snapToGrid w:val="0"/>
        <w:spacing w:line="600" w:lineRule="exact"/>
        <w:ind w:firstLine="640"/>
        <w:rPr>
          <w:rFonts w:ascii="仿宋" w:hAnsi="仿宋" w:eastAsia="仿宋"/>
          <w:sz w:val="32"/>
          <w:szCs w:val="32"/>
          <w:u w:val="none"/>
        </w:rPr>
      </w:pPr>
    </w:p>
    <w:p>
      <w:pPr>
        <w:pageBreakBefore w:val="0"/>
        <w:kinsoku/>
        <w:wordWrap/>
        <w:overflowPunct/>
        <w:topLinePunct w:val="0"/>
        <w:bidi w:val="0"/>
        <w:adjustRightInd w:val="0"/>
        <w:snapToGrid w:val="0"/>
        <w:spacing w:line="600" w:lineRule="exact"/>
        <w:ind w:firstLine="640"/>
        <w:rPr>
          <w:rFonts w:ascii="仿宋" w:hAnsi="仿宋" w:eastAsia="仿宋"/>
          <w:sz w:val="32"/>
          <w:szCs w:val="32"/>
          <w:u w:val="none"/>
        </w:rPr>
      </w:pPr>
    </w:p>
    <w:p>
      <w:pPr>
        <w:pageBreakBefore w:val="0"/>
        <w:kinsoku/>
        <w:wordWrap/>
        <w:overflowPunct/>
        <w:topLinePunct w:val="0"/>
        <w:bidi w:val="0"/>
        <w:adjustRightInd w:val="0"/>
        <w:snapToGrid w:val="0"/>
        <w:spacing w:line="600" w:lineRule="exact"/>
        <w:ind w:firstLine="640"/>
        <w:rPr>
          <w:rFonts w:ascii="仿宋" w:hAnsi="仿宋" w:eastAsia="仿宋"/>
          <w:sz w:val="32"/>
          <w:szCs w:val="32"/>
          <w:u w:val="none"/>
        </w:rPr>
      </w:pPr>
    </w:p>
    <w:p>
      <w:pPr>
        <w:pageBreakBefore w:val="0"/>
        <w:kinsoku/>
        <w:wordWrap/>
        <w:overflowPunct/>
        <w:topLinePunct w:val="0"/>
        <w:bidi w:val="0"/>
        <w:adjustRightInd w:val="0"/>
        <w:snapToGrid w:val="0"/>
        <w:spacing w:line="600" w:lineRule="exact"/>
        <w:ind w:firstLine="640"/>
        <w:rPr>
          <w:rFonts w:ascii="仿宋" w:hAnsi="仿宋" w:eastAsia="仿宋"/>
          <w:sz w:val="32"/>
          <w:szCs w:val="32"/>
          <w:u w:val="none"/>
        </w:rPr>
      </w:pPr>
    </w:p>
    <w:p>
      <w:pPr>
        <w:pageBreakBefore w:val="0"/>
        <w:kinsoku/>
        <w:wordWrap/>
        <w:overflowPunct/>
        <w:topLinePunct w:val="0"/>
        <w:bidi w:val="0"/>
        <w:adjustRightInd w:val="0"/>
        <w:snapToGrid w:val="0"/>
        <w:spacing w:line="600" w:lineRule="exact"/>
        <w:ind w:firstLine="640"/>
        <w:rPr>
          <w:rFonts w:ascii="仿宋" w:hAnsi="仿宋" w:eastAsia="仿宋"/>
          <w:sz w:val="32"/>
          <w:szCs w:val="32"/>
          <w:u w:val="none"/>
        </w:rPr>
      </w:pPr>
      <w:bookmarkStart w:id="0" w:name="_GoBack"/>
      <w:bookmarkEnd w:id="0"/>
    </w:p>
    <w:p>
      <w:pPr>
        <w:pageBreakBefore w:val="0"/>
        <w:kinsoku/>
        <w:wordWrap/>
        <w:overflowPunct/>
        <w:topLinePunct w:val="0"/>
        <w:bidi w:val="0"/>
        <w:adjustRightInd w:val="0"/>
        <w:snapToGrid w:val="0"/>
        <w:spacing w:line="600" w:lineRule="exact"/>
        <w:rPr>
          <w:rFonts w:hint="eastAsia" w:ascii="黑体" w:hAnsi="黑体" w:eastAsia="黑体" w:cs="黑体"/>
          <w:sz w:val="32"/>
          <w:szCs w:val="32"/>
          <w:u w:val="none"/>
        </w:rPr>
      </w:pPr>
    </w:p>
    <w:p>
      <w:pPr>
        <w:pageBreakBefore w:val="0"/>
        <w:kinsoku/>
        <w:wordWrap/>
        <w:overflowPunct/>
        <w:topLinePunct w:val="0"/>
        <w:bidi w:val="0"/>
        <w:adjustRightInd w:val="0"/>
        <w:snapToGrid w:val="0"/>
        <w:spacing w:line="600" w:lineRule="exact"/>
        <w:ind w:firstLine="2560" w:firstLineChars="800"/>
        <w:jc w:val="both"/>
        <w:rPr>
          <w:rFonts w:ascii="黑体" w:hAnsi="黑体" w:eastAsia="黑体" w:cs="黑体"/>
          <w:sz w:val="32"/>
          <w:szCs w:val="32"/>
          <w:highlight w:val="none"/>
          <w:u w:val="none"/>
        </w:rPr>
      </w:pPr>
      <w:r>
        <w:rPr>
          <w:rFonts w:hint="eastAsia" w:ascii="黑体" w:hAnsi="黑体" w:eastAsia="黑体" w:cs="黑体"/>
          <w:sz w:val="32"/>
          <w:szCs w:val="32"/>
          <w:highlight w:val="none"/>
          <w:u w:val="none"/>
        </w:rPr>
        <w:t>批复时间：</w:t>
      </w:r>
      <w:r>
        <w:rPr>
          <w:rFonts w:hint="eastAsia" w:ascii="黑体" w:hAnsi="黑体" w:eastAsia="黑体" w:cs="黑体"/>
          <w:sz w:val="32"/>
          <w:szCs w:val="32"/>
          <w:highlight w:val="none"/>
          <w:u w:val="none"/>
          <w:lang w:val="en-US" w:eastAsia="zh-CN"/>
        </w:rPr>
        <w:t>2024</w:t>
      </w:r>
      <w:r>
        <w:rPr>
          <w:rFonts w:hint="eastAsia" w:ascii="黑体" w:hAnsi="黑体" w:eastAsia="黑体" w:cs="黑体"/>
          <w:sz w:val="32"/>
          <w:szCs w:val="32"/>
          <w:highlight w:val="none"/>
          <w:u w:val="none"/>
        </w:rPr>
        <w:t>年</w:t>
      </w:r>
      <w:r>
        <w:rPr>
          <w:rFonts w:hint="eastAsia" w:ascii="黑体" w:hAnsi="黑体" w:eastAsia="黑体" w:cs="黑体"/>
          <w:sz w:val="32"/>
          <w:szCs w:val="32"/>
          <w:highlight w:val="none"/>
          <w:u w:val="none"/>
          <w:lang w:val="en-US" w:eastAsia="zh-CN"/>
        </w:rPr>
        <w:t>2</w:t>
      </w:r>
      <w:r>
        <w:rPr>
          <w:rFonts w:hint="eastAsia" w:ascii="黑体" w:hAnsi="黑体" w:eastAsia="黑体" w:cs="黑体"/>
          <w:sz w:val="32"/>
          <w:szCs w:val="32"/>
          <w:highlight w:val="none"/>
          <w:u w:val="none"/>
        </w:rPr>
        <w:t>月</w:t>
      </w:r>
      <w:r>
        <w:rPr>
          <w:rFonts w:hint="eastAsia" w:ascii="黑体" w:hAnsi="黑体" w:eastAsia="黑体" w:cs="黑体"/>
          <w:sz w:val="32"/>
          <w:szCs w:val="32"/>
          <w:highlight w:val="none"/>
          <w:u w:val="none"/>
          <w:lang w:val="en-US" w:eastAsia="zh-CN"/>
        </w:rPr>
        <w:t>9</w:t>
      </w:r>
      <w:r>
        <w:rPr>
          <w:rFonts w:hint="eastAsia" w:ascii="黑体" w:hAnsi="黑体" w:eastAsia="黑体" w:cs="黑体"/>
          <w:sz w:val="32"/>
          <w:szCs w:val="32"/>
          <w:highlight w:val="none"/>
          <w:u w:val="none"/>
        </w:rPr>
        <w:t>日</w:t>
      </w:r>
    </w:p>
    <w:p>
      <w:pPr>
        <w:pStyle w:val="19"/>
        <w:pageBreakBefore w:val="0"/>
        <w:kinsoku/>
        <w:wordWrap/>
        <w:overflowPunct/>
        <w:topLinePunct w:val="0"/>
        <w:bidi w:val="0"/>
        <w:spacing w:after="0" w:line="600" w:lineRule="exact"/>
        <w:ind w:left="0" w:leftChars="0" w:firstLine="0" w:firstLineChars="0"/>
        <w:jc w:val="center"/>
        <w:rPr>
          <w:rFonts w:hint="default" w:ascii="黑体" w:hAnsi="黑体" w:eastAsia="黑体" w:cs="黑体"/>
          <w:highlight w:val="none"/>
          <w:u w:val="none"/>
        </w:rPr>
      </w:pPr>
      <w:r>
        <w:rPr>
          <w:rFonts w:hint="eastAsia" w:ascii="黑体" w:hAnsi="黑体" w:eastAsia="黑体" w:cs="黑体"/>
          <w:sz w:val="32"/>
          <w:szCs w:val="32"/>
          <w:highlight w:val="none"/>
          <w:u w:val="none"/>
          <w:lang w:val="en-US" w:eastAsia="zh-CN"/>
        </w:rPr>
        <w:t xml:space="preserve"> </w:t>
      </w:r>
      <w:r>
        <w:rPr>
          <w:rFonts w:ascii="黑体" w:hAnsi="黑体" w:eastAsia="黑体" w:cs="黑体"/>
          <w:sz w:val="32"/>
          <w:szCs w:val="32"/>
          <w:highlight w:val="none"/>
          <w:u w:val="none"/>
        </w:rPr>
        <w:t>公开时间：</w:t>
      </w:r>
      <w:r>
        <w:rPr>
          <w:rFonts w:hint="eastAsia" w:ascii="黑体" w:hAnsi="黑体" w:eastAsia="黑体" w:cs="黑体"/>
          <w:sz w:val="32"/>
          <w:szCs w:val="32"/>
          <w:highlight w:val="none"/>
          <w:u w:val="none"/>
          <w:lang w:val="en-US" w:eastAsia="zh-CN"/>
        </w:rPr>
        <w:t>2024</w:t>
      </w:r>
      <w:r>
        <w:rPr>
          <w:rFonts w:ascii="黑体" w:hAnsi="黑体" w:eastAsia="黑体" w:cs="黑体"/>
          <w:sz w:val="32"/>
          <w:szCs w:val="32"/>
          <w:highlight w:val="none"/>
          <w:u w:val="none"/>
        </w:rPr>
        <w:t>年</w:t>
      </w:r>
      <w:r>
        <w:rPr>
          <w:rFonts w:hint="eastAsia" w:ascii="黑体" w:hAnsi="黑体" w:eastAsia="黑体" w:cs="黑体"/>
          <w:sz w:val="32"/>
          <w:szCs w:val="32"/>
          <w:highlight w:val="none"/>
          <w:u w:val="none"/>
          <w:lang w:val="en-US" w:eastAsia="zh-CN"/>
        </w:rPr>
        <w:t>2</w:t>
      </w:r>
      <w:r>
        <w:rPr>
          <w:rFonts w:ascii="黑体" w:hAnsi="黑体" w:eastAsia="黑体" w:cs="黑体"/>
          <w:sz w:val="32"/>
          <w:szCs w:val="32"/>
          <w:highlight w:val="none"/>
          <w:u w:val="none"/>
        </w:rPr>
        <w:t>月</w:t>
      </w:r>
      <w:r>
        <w:rPr>
          <w:rFonts w:hint="eastAsia" w:ascii="黑体" w:hAnsi="黑体" w:eastAsia="黑体" w:cs="黑体"/>
          <w:sz w:val="32"/>
          <w:szCs w:val="32"/>
          <w:highlight w:val="none"/>
          <w:u w:val="none"/>
          <w:lang w:val="en-US" w:eastAsia="zh-CN"/>
        </w:rPr>
        <w:t>27</w:t>
      </w:r>
      <w:r>
        <w:rPr>
          <w:rFonts w:ascii="黑体" w:hAnsi="黑体" w:eastAsia="黑体" w:cs="黑体"/>
          <w:sz w:val="32"/>
          <w:szCs w:val="32"/>
          <w:highlight w:val="none"/>
          <w:u w:val="none"/>
        </w:rPr>
        <w:t>日</w:t>
      </w:r>
    </w:p>
    <w:p>
      <w:pPr>
        <w:pageBreakBefore w:val="0"/>
        <w:kinsoku/>
        <w:wordWrap/>
        <w:overflowPunct/>
        <w:topLinePunct w:val="0"/>
        <w:bidi w:val="0"/>
        <w:adjustRightInd w:val="0"/>
        <w:snapToGrid w:val="0"/>
        <w:spacing w:line="600" w:lineRule="exact"/>
        <w:ind w:firstLine="640"/>
        <w:rPr>
          <w:rFonts w:ascii="仿宋" w:hAnsi="仿宋" w:eastAsia="仿宋"/>
          <w:sz w:val="32"/>
          <w:szCs w:val="32"/>
          <w:u w:val="none"/>
        </w:rPr>
      </w:pPr>
    </w:p>
    <w:p>
      <w:pPr>
        <w:pStyle w:val="2"/>
      </w:pPr>
    </w:p>
    <w:p>
      <w:pPr>
        <w:pStyle w:val="4"/>
        <w:pageBreakBefore w:val="0"/>
        <w:tabs>
          <w:tab w:val="left" w:pos="4533"/>
        </w:tabs>
        <w:kinsoku/>
        <w:wordWrap/>
        <w:overflowPunct/>
        <w:topLinePunct w:val="0"/>
        <w:bidi w:val="0"/>
        <w:spacing w:before="0" w:after="0" w:line="600" w:lineRule="exact"/>
        <w:ind w:firstLine="0" w:firstLineChars="0"/>
        <w:jc w:val="center"/>
        <w:rPr>
          <w:sz w:val="44"/>
          <w:szCs w:val="44"/>
          <w:u w:val="none"/>
        </w:rPr>
      </w:pPr>
    </w:p>
    <w:p>
      <w:pPr>
        <w:pStyle w:val="4"/>
        <w:pageBreakBefore w:val="0"/>
        <w:tabs>
          <w:tab w:val="left" w:pos="4533"/>
        </w:tabs>
        <w:kinsoku/>
        <w:wordWrap/>
        <w:overflowPunct/>
        <w:topLinePunct w:val="0"/>
        <w:bidi w:val="0"/>
        <w:spacing w:before="0" w:after="0" w:line="560" w:lineRule="exact"/>
        <w:ind w:firstLine="0" w:firstLineChars="0"/>
        <w:jc w:val="center"/>
        <w:textAlignment w:val="auto"/>
        <w:rPr>
          <w:sz w:val="44"/>
          <w:szCs w:val="44"/>
          <w:u w:val="none"/>
        </w:rPr>
      </w:pPr>
      <w:r>
        <w:rPr>
          <w:sz w:val="44"/>
          <w:szCs w:val="44"/>
          <w:u w:val="none"/>
        </w:rPr>
        <w:t>目</w:t>
      </w:r>
      <w:r>
        <w:rPr>
          <w:rFonts w:hint="eastAsia" w:eastAsia="宋体"/>
          <w:sz w:val="44"/>
          <w:szCs w:val="44"/>
          <w:u w:val="none"/>
        </w:rPr>
        <w:t xml:space="preserve">  </w:t>
      </w:r>
      <w:r>
        <w:rPr>
          <w:rFonts w:hint="eastAsia"/>
          <w:sz w:val="44"/>
          <w:szCs w:val="44"/>
          <w:u w:val="none"/>
        </w:rPr>
        <w:t xml:space="preserve">  </w:t>
      </w:r>
      <w:r>
        <w:rPr>
          <w:sz w:val="44"/>
          <w:szCs w:val="44"/>
          <w:u w:val="none"/>
        </w:rPr>
        <w:t>录</w:t>
      </w:r>
    </w:p>
    <w:p>
      <w:pPr>
        <w:pageBreakBefore w:val="0"/>
        <w:kinsoku/>
        <w:wordWrap/>
        <w:overflowPunct/>
        <w:topLinePunct w:val="0"/>
        <w:bidi w:val="0"/>
        <w:spacing w:line="560" w:lineRule="exact"/>
        <w:textAlignment w:val="auto"/>
        <w:rPr>
          <w:u w:val="none"/>
        </w:rPr>
      </w:pPr>
    </w:p>
    <w:p>
      <w:pPr>
        <w:pStyle w:val="2"/>
        <w:pageBreakBefore w:val="0"/>
        <w:kinsoku/>
        <w:wordWrap/>
        <w:overflowPunct/>
        <w:topLinePunct w:val="0"/>
        <w:bidi w:val="0"/>
        <w:spacing w:after="0" w:line="560" w:lineRule="exact"/>
        <w:textAlignment w:val="auto"/>
        <w:rPr>
          <w:rFonts w:ascii="黑体" w:hAnsi="黑体" w:eastAsia="黑体" w:cs="黑体"/>
          <w:sz w:val="32"/>
          <w:szCs w:val="32"/>
          <w:u w:val="none"/>
        </w:rPr>
      </w:pPr>
      <w:r>
        <w:rPr>
          <w:rFonts w:hint="eastAsia" w:ascii="黑体" w:hAnsi="黑体" w:eastAsia="黑体" w:cs="黑体"/>
          <w:sz w:val="32"/>
          <w:szCs w:val="32"/>
          <w:u w:val="none"/>
        </w:rPr>
        <w:t xml:space="preserve">第一部分 </w:t>
      </w:r>
      <w:r>
        <w:rPr>
          <w:rFonts w:hint="eastAsia" w:ascii="黑体" w:hAnsi="黑体" w:eastAsia="黑体" w:cs="黑体"/>
          <w:sz w:val="32"/>
          <w:szCs w:val="32"/>
          <w:u w:val="none"/>
          <w:lang w:eastAsia="zh-CN"/>
        </w:rPr>
        <w:t>单位</w:t>
      </w:r>
      <w:r>
        <w:rPr>
          <w:rFonts w:hint="eastAsia" w:ascii="黑体" w:hAnsi="黑体" w:eastAsia="黑体" w:cs="黑体"/>
          <w:sz w:val="32"/>
          <w:szCs w:val="32"/>
          <w:u w:val="none"/>
        </w:rPr>
        <w:t>概况</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一、主要职能、职责</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二、单位机构设置及预算单位构成情况</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三、2024年度单位主要工作任务及目标</w:t>
      </w:r>
    </w:p>
    <w:p>
      <w:pPr>
        <w:pStyle w:val="2"/>
        <w:pageBreakBefore w:val="0"/>
        <w:kinsoku/>
        <w:wordWrap/>
        <w:overflowPunct/>
        <w:topLinePunct w:val="0"/>
        <w:bidi w:val="0"/>
        <w:spacing w:after="0" w:line="560" w:lineRule="exact"/>
        <w:textAlignment w:val="auto"/>
        <w:rPr>
          <w:rFonts w:ascii="黑体" w:hAnsi="黑体" w:eastAsia="黑体" w:cs="黑体"/>
          <w:sz w:val="32"/>
          <w:szCs w:val="32"/>
          <w:u w:val="none"/>
        </w:rPr>
      </w:pPr>
      <w:r>
        <w:rPr>
          <w:rFonts w:hint="eastAsia" w:ascii="黑体" w:hAnsi="黑体" w:eastAsia="黑体" w:cs="黑体"/>
          <w:sz w:val="32"/>
          <w:szCs w:val="32"/>
          <w:u w:val="none"/>
        </w:rPr>
        <w:t xml:space="preserve">第二部分 </w:t>
      </w:r>
      <w:r>
        <w:rPr>
          <w:rFonts w:hint="eastAsia" w:ascii="黑体" w:hAnsi="黑体" w:eastAsia="黑体" w:cs="黑体"/>
          <w:sz w:val="32"/>
          <w:szCs w:val="32"/>
          <w:u w:val="none"/>
          <w:lang w:val="en-US" w:eastAsia="zh-CN"/>
        </w:rPr>
        <w:t>2024</w:t>
      </w:r>
      <w:r>
        <w:rPr>
          <w:rFonts w:hint="eastAsia" w:ascii="黑体" w:hAnsi="黑体" w:eastAsia="黑体" w:cs="黑体"/>
          <w:sz w:val="32"/>
          <w:szCs w:val="32"/>
          <w:u w:val="none"/>
        </w:rPr>
        <w:t>年度</w:t>
      </w:r>
      <w:r>
        <w:rPr>
          <w:rFonts w:hint="eastAsia" w:ascii="黑体" w:hAnsi="黑体" w:eastAsia="黑体" w:cs="黑体"/>
          <w:sz w:val="32"/>
          <w:szCs w:val="32"/>
          <w:u w:val="none"/>
          <w:lang w:eastAsia="zh-CN"/>
        </w:rPr>
        <w:t>单位</w:t>
      </w:r>
      <w:r>
        <w:rPr>
          <w:rFonts w:hint="eastAsia" w:ascii="黑体" w:hAnsi="黑体" w:eastAsia="黑体" w:cs="黑体"/>
          <w:sz w:val="32"/>
          <w:szCs w:val="32"/>
          <w:u w:val="none"/>
        </w:rPr>
        <w:t>预算情况说明</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一、收支预算总体情况说明</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二、收入预算情况说明</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三、支出预算情况说明</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四、财政拨款收支预算总体情况说明</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五、一般公共预算支出预算情况说明</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六、一般公共预算基本支出预算情况说明</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七、一般公共预算“三公”经费支出预算情况说明</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八、政府性基金预算支出预算情况说明</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九、国有资本经营预算支出预算情况说明</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十、项目支出预算情况说明</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十一、一般公共预算机关运行经费支出预算情况说明</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十二、政府采购支出预算情况说明</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十三、国有资产占用情况说明</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 xml:space="preserve">十四、项目绩效目标情况说明 </w:t>
      </w:r>
    </w:p>
    <w:p>
      <w:pPr>
        <w:pStyle w:val="2"/>
        <w:pageBreakBefore w:val="0"/>
        <w:kinsoku/>
        <w:wordWrap/>
        <w:overflowPunct/>
        <w:topLinePunct w:val="0"/>
        <w:bidi w:val="0"/>
        <w:spacing w:after="0" w:line="560" w:lineRule="exact"/>
        <w:textAlignment w:val="auto"/>
        <w:rPr>
          <w:rFonts w:ascii="黑体" w:hAnsi="黑体" w:eastAsia="黑体" w:cs="黑体"/>
          <w:sz w:val="32"/>
          <w:szCs w:val="32"/>
          <w:u w:val="none"/>
        </w:rPr>
      </w:pPr>
      <w:r>
        <w:rPr>
          <w:rFonts w:hint="eastAsia" w:ascii="黑体" w:hAnsi="黑体" w:eastAsia="黑体" w:cs="黑体"/>
          <w:sz w:val="32"/>
          <w:szCs w:val="32"/>
          <w:u w:val="none"/>
        </w:rPr>
        <w:t>第三部分 名词解释</w:t>
      </w:r>
    </w:p>
    <w:p>
      <w:pPr>
        <w:pStyle w:val="2"/>
        <w:pageBreakBefore w:val="0"/>
        <w:kinsoku/>
        <w:wordWrap/>
        <w:overflowPunct/>
        <w:topLinePunct w:val="0"/>
        <w:bidi w:val="0"/>
        <w:spacing w:after="0" w:line="560" w:lineRule="exact"/>
        <w:textAlignment w:val="auto"/>
        <w:rPr>
          <w:rFonts w:ascii="黑体" w:hAnsi="黑体" w:eastAsia="黑体" w:cs="黑体"/>
          <w:sz w:val="32"/>
          <w:szCs w:val="32"/>
          <w:u w:val="none"/>
        </w:rPr>
      </w:pPr>
      <w:r>
        <w:rPr>
          <w:rFonts w:hint="eastAsia" w:ascii="黑体" w:hAnsi="黑体" w:eastAsia="黑体" w:cs="黑体"/>
          <w:sz w:val="32"/>
          <w:szCs w:val="32"/>
          <w:u w:val="none"/>
        </w:rPr>
        <w:t>第四部分 预算公开联系方式及信息反馈渠道</w:t>
      </w:r>
    </w:p>
    <w:p>
      <w:pPr>
        <w:pStyle w:val="2"/>
        <w:pageBreakBefore w:val="0"/>
        <w:kinsoku/>
        <w:wordWrap/>
        <w:overflowPunct/>
        <w:topLinePunct w:val="0"/>
        <w:bidi w:val="0"/>
        <w:spacing w:after="0" w:line="560" w:lineRule="exact"/>
        <w:textAlignment w:val="auto"/>
        <w:rPr>
          <w:rFonts w:ascii="黑体" w:hAnsi="黑体" w:eastAsia="黑体" w:cs="黑体"/>
          <w:sz w:val="32"/>
          <w:szCs w:val="32"/>
          <w:u w:val="none"/>
        </w:rPr>
      </w:pPr>
      <w:r>
        <w:rPr>
          <w:rFonts w:hint="eastAsia" w:ascii="黑体" w:hAnsi="黑体" w:eastAsia="黑体" w:cs="黑体"/>
          <w:sz w:val="32"/>
          <w:szCs w:val="32"/>
          <w:u w:val="none"/>
        </w:rPr>
        <w:t xml:space="preserve">第五部分 </w:t>
      </w:r>
      <w:r>
        <w:rPr>
          <w:rFonts w:hint="eastAsia" w:ascii="黑体" w:hAnsi="黑体" w:eastAsia="黑体" w:cs="黑体"/>
          <w:sz w:val="32"/>
          <w:szCs w:val="32"/>
          <w:u w:val="none"/>
          <w:lang w:val="en-US" w:eastAsia="zh-CN"/>
        </w:rPr>
        <w:t>2024</w:t>
      </w:r>
      <w:r>
        <w:rPr>
          <w:rFonts w:hint="eastAsia" w:ascii="黑体" w:hAnsi="黑体" w:eastAsia="黑体" w:cs="黑体"/>
          <w:sz w:val="32"/>
          <w:szCs w:val="32"/>
          <w:u w:val="none"/>
        </w:rPr>
        <w:t>年度</w:t>
      </w:r>
      <w:r>
        <w:rPr>
          <w:rFonts w:hint="eastAsia" w:ascii="黑体" w:hAnsi="黑体" w:eastAsia="黑体" w:cs="黑体"/>
          <w:sz w:val="32"/>
          <w:szCs w:val="32"/>
          <w:u w:val="none"/>
          <w:lang w:eastAsia="zh-CN"/>
        </w:rPr>
        <w:t>单位</w:t>
      </w:r>
      <w:r>
        <w:rPr>
          <w:rFonts w:hint="eastAsia" w:ascii="黑体" w:hAnsi="黑体" w:eastAsia="黑体" w:cs="黑体"/>
          <w:sz w:val="32"/>
          <w:szCs w:val="32"/>
          <w:u w:val="none"/>
        </w:rPr>
        <w:t>预算表</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一、收支总表</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二、收入总表</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三、支出总表</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四、财政拨款收支总表</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五、一般公共预算支出表</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六、一般公共预算基本支出表</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七、一般公共预算“三公”经费支出表</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八、政府性基金预算支出表</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九、国有资本经营预算支出表</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十、项目支出表</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十一、项目绩效目标表</w:t>
      </w:r>
    </w:p>
    <w:p>
      <w:pPr>
        <w:pStyle w:val="2"/>
        <w:pageBreakBefore w:val="0"/>
        <w:kinsoku/>
        <w:wordWrap/>
        <w:overflowPunct/>
        <w:topLinePunct w:val="0"/>
        <w:bidi w:val="0"/>
        <w:spacing w:after="0" w:line="560" w:lineRule="exact"/>
        <w:textAlignment w:val="auto"/>
        <w:rPr>
          <w:rFonts w:hint="eastAsia" w:ascii="仿宋" w:hAnsi="仿宋" w:eastAsia="仿宋" w:cs="仿宋"/>
          <w:b w:val="0"/>
          <w:bCs w:val="0"/>
          <w:kern w:val="2"/>
          <w:sz w:val="32"/>
          <w:szCs w:val="32"/>
          <w:u w:val="none"/>
          <w:lang w:val="en-US" w:eastAsia="zh-CN" w:bidi="ar-SA"/>
        </w:rPr>
      </w:pPr>
      <w:r>
        <w:rPr>
          <w:rFonts w:hint="eastAsia" w:ascii="仿宋" w:hAnsi="仿宋" w:eastAsia="仿宋" w:cs="仿宋"/>
          <w:b w:val="0"/>
          <w:bCs w:val="0"/>
          <w:kern w:val="2"/>
          <w:sz w:val="32"/>
          <w:szCs w:val="32"/>
          <w:u w:val="none"/>
          <w:lang w:val="en-US" w:eastAsia="zh-CN" w:bidi="ar-SA"/>
        </w:rPr>
        <w:t>十二、政府采购预算表</w:t>
      </w:r>
    </w:p>
    <w:p>
      <w:pPr>
        <w:pStyle w:val="2"/>
        <w:pageBreakBefore w:val="0"/>
        <w:kinsoku/>
        <w:wordWrap/>
        <w:overflowPunct/>
        <w:topLinePunct w:val="0"/>
        <w:bidi w:val="0"/>
        <w:spacing w:after="0" w:line="560" w:lineRule="exact"/>
        <w:textAlignment w:val="auto"/>
        <w:rPr>
          <w:rFonts w:hint="default" w:ascii="仿宋" w:hAnsi="仿宋" w:eastAsia="仿宋" w:cs="仿宋"/>
          <w:b w:val="0"/>
          <w:bCs w:val="0"/>
          <w:kern w:val="2"/>
          <w:sz w:val="32"/>
          <w:szCs w:val="32"/>
          <w:u w:val="none"/>
          <w:lang w:val="en-US" w:eastAsia="zh-CN" w:bidi="ar-SA"/>
        </w:rPr>
        <w:sectPr>
          <w:headerReference r:id="rId3" w:type="default"/>
          <w:footerReference r:id="rId4" w:type="default"/>
          <w:pgSz w:w="11910" w:h="16840"/>
          <w:pgMar w:top="2041" w:right="1531" w:bottom="1871" w:left="1531" w:header="720" w:footer="720" w:gutter="0"/>
          <w:pgNumType w:fmt="decimal"/>
          <w:cols w:space="0" w:num="1"/>
        </w:sectPr>
      </w:pPr>
    </w:p>
    <w:p>
      <w:pPr>
        <w:pStyle w:val="6"/>
        <w:pageBreakBefore w:val="0"/>
        <w:tabs>
          <w:tab w:val="left" w:pos="4392"/>
        </w:tabs>
        <w:kinsoku/>
        <w:wordWrap/>
        <w:overflowPunct/>
        <w:topLinePunct w:val="0"/>
        <w:bidi w:val="0"/>
        <w:spacing w:before="0" w:after="0" w:line="560" w:lineRule="exact"/>
        <w:jc w:val="center"/>
        <w:textAlignment w:val="auto"/>
        <w:rPr>
          <w:rFonts w:hint="eastAsia" w:ascii="方正小标宋简体" w:hAnsi="方正小标宋简体" w:eastAsia="方正小标宋简体" w:cs="方正小标宋简体"/>
          <w:sz w:val="36"/>
          <w:szCs w:val="36"/>
          <w:u w:val="none"/>
        </w:rPr>
      </w:pPr>
      <w:r>
        <w:rPr>
          <w:rFonts w:hint="eastAsia" w:ascii="方正小标宋简体" w:hAnsi="方正小标宋简体" w:eastAsia="方正小标宋简体" w:cs="方正小标宋简体"/>
          <w:b w:val="0"/>
          <w:bCs w:val="0"/>
          <w:sz w:val="36"/>
          <w:szCs w:val="36"/>
          <w:u w:val="none"/>
        </w:rPr>
        <w:t xml:space="preserve">第一部分  </w:t>
      </w:r>
      <w:r>
        <w:rPr>
          <w:rFonts w:hint="eastAsia" w:ascii="方正小标宋简体" w:hAnsi="方正小标宋简体" w:eastAsia="方正小标宋简体" w:cs="方正小标宋简体"/>
          <w:b w:val="0"/>
          <w:bCs w:val="0"/>
          <w:sz w:val="36"/>
          <w:szCs w:val="36"/>
          <w:u w:val="none"/>
          <w:lang w:eastAsia="zh-CN"/>
        </w:rPr>
        <w:t>单位</w:t>
      </w:r>
      <w:r>
        <w:rPr>
          <w:rFonts w:hint="eastAsia" w:ascii="方正小标宋简体" w:hAnsi="方正小标宋简体" w:eastAsia="方正小标宋简体" w:cs="方正小标宋简体"/>
          <w:b w:val="0"/>
          <w:bCs w:val="0"/>
          <w:sz w:val="36"/>
          <w:szCs w:val="36"/>
          <w:u w:val="none"/>
        </w:rPr>
        <w:t>概况</w:t>
      </w:r>
    </w:p>
    <w:p>
      <w:pPr>
        <w:pageBreakBefore w:val="0"/>
        <w:numPr>
          <w:ilvl w:val="0"/>
          <w:numId w:val="0"/>
        </w:numPr>
        <w:kinsoku/>
        <w:wordWrap/>
        <w:overflowPunct/>
        <w:topLinePunct w:val="0"/>
        <w:bidi w:val="0"/>
        <w:spacing w:line="560" w:lineRule="exact"/>
        <w:ind w:leftChars="203" w:firstLine="320" w:firstLineChars="100"/>
        <w:textAlignment w:val="auto"/>
        <w:outlineLvl w:val="0"/>
        <w:rPr>
          <w:rFonts w:hint="eastAsia" w:eastAsia="黑体" w:cs="黑体"/>
          <w:b w:val="0"/>
          <w:bCs w:val="0"/>
          <w:sz w:val="32"/>
          <w:szCs w:val="36"/>
          <w:u w:val="none"/>
          <w:lang w:val="en-US" w:eastAsia="zh-CN"/>
        </w:rPr>
      </w:pPr>
    </w:p>
    <w:p>
      <w:pPr>
        <w:pageBreakBefore w:val="0"/>
        <w:numPr>
          <w:ilvl w:val="0"/>
          <w:numId w:val="0"/>
        </w:numPr>
        <w:kinsoku/>
        <w:wordWrap/>
        <w:overflowPunct/>
        <w:topLinePunct w:val="0"/>
        <w:bidi w:val="0"/>
        <w:spacing w:line="560" w:lineRule="exact"/>
        <w:ind w:leftChars="203" w:firstLine="320" w:firstLineChars="100"/>
        <w:textAlignment w:val="auto"/>
        <w:outlineLvl w:val="0"/>
        <w:rPr>
          <w:rFonts w:hint="eastAsia"/>
        </w:rPr>
      </w:pPr>
      <w:r>
        <w:rPr>
          <w:rFonts w:hint="eastAsia" w:eastAsia="黑体" w:cs="黑体"/>
          <w:b w:val="0"/>
          <w:bCs w:val="0"/>
          <w:sz w:val="32"/>
          <w:szCs w:val="36"/>
          <w:u w:val="none"/>
          <w:lang w:val="en-US" w:eastAsia="zh-CN"/>
        </w:rPr>
        <w:t>一、</w:t>
      </w:r>
      <w:r>
        <w:rPr>
          <w:rFonts w:hint="eastAsia" w:eastAsia="黑体" w:cs="黑体"/>
          <w:b w:val="0"/>
          <w:bCs w:val="0"/>
          <w:sz w:val="32"/>
          <w:szCs w:val="36"/>
          <w:u w:val="none"/>
        </w:rPr>
        <w:t>主要职能职责</w:t>
      </w:r>
    </w:p>
    <w:p>
      <w:pPr>
        <w:pageBreakBefore w:val="0"/>
        <w:kinsoku/>
        <w:wordWrap/>
        <w:overflowPunct/>
        <w:topLinePunct w:val="0"/>
        <w:bidi w:val="0"/>
        <w:spacing w:before="190" w:line="560" w:lineRule="exact"/>
        <w:ind w:left="11" w:right="91" w:firstLine="635"/>
        <w:textAlignment w:val="auto"/>
        <w:rPr>
          <w:rFonts w:hint="eastAsia" w:ascii="楷体" w:hAnsi="楷体" w:eastAsia="楷体" w:cs="楷体"/>
          <w:b/>
          <w:bCs/>
          <w:kern w:val="2"/>
          <w:sz w:val="32"/>
          <w:szCs w:val="32"/>
          <w:u w:val="none"/>
          <w:lang w:val="en-US" w:eastAsia="zh-CN" w:bidi="ar-SA"/>
        </w:rPr>
      </w:pPr>
      <w:r>
        <w:rPr>
          <w:rFonts w:hint="eastAsia" w:ascii="楷体" w:hAnsi="楷体" w:eastAsia="楷体" w:cs="楷体"/>
          <w:b/>
          <w:bCs/>
          <w:kern w:val="2"/>
          <w:sz w:val="32"/>
          <w:szCs w:val="32"/>
          <w:u w:val="none"/>
          <w:lang w:val="en-US" w:eastAsia="zh-CN" w:bidi="ar-SA"/>
        </w:rPr>
        <w:t>（一）单位职能</w:t>
      </w:r>
    </w:p>
    <w:p>
      <w:pPr>
        <w:pStyle w:val="2"/>
        <w:pageBreakBefore w:val="0"/>
        <w:kinsoku/>
        <w:wordWrap/>
        <w:overflowPunct/>
        <w:topLinePunct w:val="0"/>
        <w:bidi w:val="0"/>
        <w:spacing w:after="0" w:line="560" w:lineRule="exact"/>
        <w:ind w:firstLine="608" w:firstLineChars="200"/>
        <w:textAlignment w:val="auto"/>
        <w:rPr>
          <w:rFonts w:hint="eastAsia" w:ascii="仿宋" w:hAnsi="仿宋" w:eastAsia="仿宋" w:cs="仿宋"/>
          <w:w w:val="95"/>
          <w:kern w:val="2"/>
          <w:sz w:val="32"/>
          <w:szCs w:val="32"/>
          <w:u w:val="none"/>
          <w:lang w:val="en-US" w:eastAsia="zh-CN" w:bidi="ar-SA"/>
        </w:rPr>
      </w:pPr>
      <w:r>
        <w:rPr>
          <w:rFonts w:hint="eastAsia" w:ascii="仿宋" w:hAnsi="仿宋" w:eastAsia="仿宋" w:cs="仿宋"/>
          <w:w w:val="95"/>
          <w:kern w:val="2"/>
          <w:sz w:val="32"/>
          <w:szCs w:val="32"/>
          <w:u w:val="none"/>
          <w:lang w:val="en-US" w:eastAsia="zh-CN" w:bidi="ar-SA"/>
        </w:rPr>
        <w:t>根据关于印发《关于包头市口岸服务中心机构职能编制的批复》的通知（包机编发〔2021〕49 号）设立包头市口岸服务中心，为包头市商务局二级单位。</w:t>
      </w:r>
    </w:p>
    <w:p>
      <w:pPr>
        <w:pageBreakBefore w:val="0"/>
        <w:kinsoku/>
        <w:wordWrap/>
        <w:overflowPunct/>
        <w:topLinePunct w:val="0"/>
        <w:bidi w:val="0"/>
        <w:spacing w:before="190" w:line="560" w:lineRule="exact"/>
        <w:ind w:left="11" w:right="91" w:firstLine="635"/>
        <w:textAlignment w:val="auto"/>
        <w:rPr>
          <w:rFonts w:hint="eastAsia" w:ascii="楷体" w:hAnsi="楷体" w:eastAsia="楷体" w:cs="楷体"/>
          <w:b/>
          <w:bCs/>
          <w:kern w:val="2"/>
          <w:sz w:val="32"/>
          <w:szCs w:val="32"/>
          <w:u w:val="none"/>
          <w:lang w:val="en-US" w:eastAsia="zh-CN" w:bidi="ar-SA"/>
        </w:rPr>
      </w:pPr>
      <w:r>
        <w:rPr>
          <w:rFonts w:hint="eastAsia" w:ascii="楷体" w:hAnsi="楷体" w:eastAsia="楷体" w:cs="楷体"/>
          <w:b/>
          <w:bCs/>
          <w:kern w:val="2"/>
          <w:sz w:val="32"/>
          <w:szCs w:val="32"/>
          <w:u w:val="none"/>
          <w:lang w:val="en-US" w:eastAsia="zh-CN" w:bidi="ar-SA"/>
        </w:rPr>
        <w:t>（二）单位主要职责</w:t>
      </w:r>
    </w:p>
    <w:p>
      <w:pPr>
        <w:pageBreakBefore w:val="0"/>
        <w:kinsoku/>
        <w:wordWrap/>
        <w:overflowPunct/>
        <w:topLinePunct w:val="0"/>
        <w:bidi w:val="0"/>
        <w:spacing w:before="190" w:line="560" w:lineRule="exact"/>
        <w:ind w:left="11" w:right="91" w:firstLine="635"/>
        <w:textAlignment w:val="auto"/>
        <w:rPr>
          <w:rFonts w:hint="eastAsia" w:ascii="仿宋" w:hAnsi="仿宋" w:eastAsia="仿宋" w:cs="仿宋"/>
          <w:w w:val="95"/>
          <w:kern w:val="2"/>
          <w:sz w:val="32"/>
          <w:szCs w:val="32"/>
          <w:u w:val="none"/>
          <w:lang w:val="en-US" w:eastAsia="zh-CN" w:bidi="ar-SA"/>
        </w:rPr>
      </w:pPr>
      <w:r>
        <w:rPr>
          <w:rFonts w:hint="eastAsia" w:ascii="仿宋" w:hAnsi="仿宋" w:eastAsia="仿宋" w:cs="仿宋"/>
          <w:w w:val="95"/>
          <w:kern w:val="2"/>
          <w:sz w:val="32"/>
          <w:szCs w:val="32"/>
          <w:u w:val="none"/>
          <w:lang w:val="en-US" w:eastAsia="zh-CN" w:bidi="ar-SA"/>
        </w:rPr>
        <w:t>主要职责有：</w:t>
      </w:r>
    </w:p>
    <w:p>
      <w:pPr>
        <w:pageBreakBefore w:val="0"/>
        <w:kinsoku/>
        <w:wordWrap/>
        <w:overflowPunct/>
        <w:topLinePunct w:val="0"/>
        <w:bidi w:val="0"/>
        <w:spacing w:before="190" w:line="560" w:lineRule="exact"/>
        <w:ind w:left="11" w:right="91" w:firstLine="635"/>
        <w:textAlignment w:val="auto"/>
        <w:rPr>
          <w:rFonts w:hint="eastAsia" w:ascii="仿宋" w:hAnsi="仿宋" w:eastAsia="仿宋" w:cs="仿宋"/>
          <w:w w:val="95"/>
          <w:kern w:val="2"/>
          <w:sz w:val="32"/>
          <w:szCs w:val="32"/>
          <w:u w:val="none"/>
          <w:lang w:val="en-US" w:eastAsia="zh-CN" w:bidi="ar-SA"/>
        </w:rPr>
      </w:pPr>
      <w:r>
        <w:rPr>
          <w:rFonts w:hint="eastAsia" w:ascii="仿宋" w:hAnsi="仿宋" w:eastAsia="仿宋" w:cs="仿宋"/>
          <w:w w:val="95"/>
          <w:kern w:val="2"/>
          <w:sz w:val="32"/>
          <w:szCs w:val="32"/>
          <w:u w:val="none"/>
          <w:lang w:val="en-US" w:eastAsia="zh-CN" w:bidi="ar-SA"/>
        </w:rPr>
        <w:t>1.负责监测分析口岸数据，按照自治区要求上报数据。</w:t>
      </w:r>
    </w:p>
    <w:p>
      <w:pPr>
        <w:pageBreakBefore w:val="0"/>
        <w:kinsoku/>
        <w:wordWrap/>
        <w:overflowPunct/>
        <w:topLinePunct w:val="0"/>
        <w:bidi w:val="0"/>
        <w:spacing w:before="190" w:line="560" w:lineRule="exact"/>
        <w:ind w:left="11" w:right="91" w:firstLine="635"/>
        <w:textAlignment w:val="auto"/>
        <w:rPr>
          <w:rFonts w:hint="eastAsia" w:ascii="仿宋" w:hAnsi="仿宋" w:eastAsia="仿宋" w:cs="仿宋"/>
          <w:w w:val="95"/>
          <w:kern w:val="2"/>
          <w:sz w:val="32"/>
          <w:szCs w:val="32"/>
          <w:u w:val="none"/>
          <w:lang w:val="en-US" w:eastAsia="zh-CN" w:bidi="ar-SA"/>
        </w:rPr>
      </w:pPr>
      <w:r>
        <w:rPr>
          <w:rFonts w:hint="eastAsia" w:ascii="仿宋" w:hAnsi="仿宋" w:eastAsia="仿宋" w:cs="仿宋"/>
          <w:w w:val="95"/>
          <w:kern w:val="2"/>
          <w:sz w:val="32"/>
          <w:szCs w:val="32"/>
          <w:u w:val="none"/>
          <w:lang w:val="en-US" w:eastAsia="zh-CN" w:bidi="ar-SA"/>
        </w:rPr>
        <w:t>2.配合局机关提出推动发展口岸经济的政策建议。</w:t>
      </w:r>
    </w:p>
    <w:p>
      <w:pPr>
        <w:pageBreakBefore w:val="0"/>
        <w:kinsoku/>
        <w:wordWrap/>
        <w:overflowPunct/>
        <w:topLinePunct w:val="0"/>
        <w:bidi w:val="0"/>
        <w:spacing w:before="190" w:line="560" w:lineRule="exact"/>
        <w:ind w:left="11" w:right="91" w:firstLine="635"/>
        <w:textAlignment w:val="auto"/>
        <w:rPr>
          <w:rFonts w:hint="eastAsia" w:ascii="仿宋" w:hAnsi="仿宋" w:eastAsia="仿宋" w:cs="仿宋"/>
          <w:w w:val="95"/>
          <w:kern w:val="2"/>
          <w:sz w:val="32"/>
          <w:szCs w:val="32"/>
          <w:u w:val="none"/>
          <w:lang w:val="en-US" w:eastAsia="zh-CN" w:bidi="ar-SA"/>
        </w:rPr>
      </w:pPr>
      <w:r>
        <w:rPr>
          <w:rFonts w:hint="eastAsia" w:ascii="仿宋" w:hAnsi="仿宋" w:eastAsia="仿宋" w:cs="仿宋"/>
          <w:w w:val="95"/>
          <w:kern w:val="2"/>
          <w:sz w:val="32"/>
          <w:szCs w:val="32"/>
          <w:u w:val="none"/>
          <w:lang w:val="en-US" w:eastAsia="zh-CN" w:bidi="ar-SA"/>
        </w:rPr>
        <w:t>3.协助局机关组织推动口岸 “大通关”建设、优化口岸营商环境、协调口岸通关中各部门的工作关系，配合做好口岸通关服务工作。</w:t>
      </w:r>
    </w:p>
    <w:p>
      <w:pPr>
        <w:pageBreakBefore w:val="0"/>
        <w:kinsoku/>
        <w:wordWrap/>
        <w:overflowPunct/>
        <w:topLinePunct w:val="0"/>
        <w:bidi w:val="0"/>
        <w:spacing w:before="190" w:line="560" w:lineRule="exact"/>
        <w:ind w:left="11" w:right="91" w:firstLine="635"/>
        <w:textAlignment w:val="auto"/>
        <w:rPr>
          <w:rFonts w:hint="eastAsia" w:ascii="仿宋" w:hAnsi="仿宋" w:eastAsia="仿宋" w:cs="仿宋"/>
          <w:w w:val="95"/>
          <w:kern w:val="2"/>
          <w:sz w:val="32"/>
          <w:szCs w:val="32"/>
          <w:u w:val="none"/>
          <w:lang w:val="en-US" w:eastAsia="zh-CN" w:bidi="ar-SA"/>
        </w:rPr>
      </w:pPr>
      <w:r>
        <w:rPr>
          <w:rFonts w:hint="eastAsia" w:ascii="仿宋" w:hAnsi="仿宋" w:eastAsia="仿宋" w:cs="仿宋"/>
          <w:w w:val="95"/>
          <w:kern w:val="2"/>
          <w:sz w:val="32"/>
          <w:szCs w:val="32"/>
          <w:u w:val="none"/>
          <w:lang w:val="en-US" w:eastAsia="zh-CN" w:bidi="ar-SA"/>
        </w:rPr>
        <w:t>4.配合局机关做好口岸区域公共安全时间应急处置的相关工作。</w:t>
      </w:r>
    </w:p>
    <w:p>
      <w:pPr>
        <w:pageBreakBefore w:val="0"/>
        <w:kinsoku/>
        <w:wordWrap/>
        <w:overflowPunct/>
        <w:topLinePunct w:val="0"/>
        <w:bidi w:val="0"/>
        <w:spacing w:before="190" w:line="560" w:lineRule="exact"/>
        <w:ind w:left="11" w:right="91" w:firstLine="635"/>
        <w:textAlignment w:val="auto"/>
        <w:rPr>
          <w:rFonts w:hint="eastAsia" w:eastAsia="黑体" w:cs="黑体"/>
          <w:b w:val="0"/>
          <w:bCs w:val="0"/>
          <w:sz w:val="32"/>
          <w:szCs w:val="36"/>
          <w:u w:val="none"/>
        </w:rPr>
      </w:pPr>
      <w:r>
        <w:rPr>
          <w:rFonts w:hint="eastAsia" w:ascii="仿宋" w:hAnsi="仿宋" w:eastAsia="仿宋" w:cs="仿宋"/>
          <w:w w:val="95"/>
          <w:kern w:val="2"/>
          <w:sz w:val="32"/>
          <w:szCs w:val="32"/>
          <w:u w:val="none"/>
          <w:lang w:val="en-US" w:eastAsia="zh-CN" w:bidi="ar-SA"/>
        </w:rPr>
        <w:t>5.承担市商务局交办的其他相关工作。</w:t>
      </w:r>
    </w:p>
    <w:p>
      <w:pPr>
        <w:pageBreakBefore w:val="0"/>
        <w:kinsoku/>
        <w:wordWrap/>
        <w:overflowPunct/>
        <w:topLinePunct w:val="0"/>
        <w:bidi w:val="0"/>
        <w:spacing w:line="560" w:lineRule="exact"/>
        <w:ind w:firstLine="640" w:firstLineChars="200"/>
        <w:textAlignment w:val="auto"/>
        <w:outlineLvl w:val="0"/>
        <w:rPr>
          <w:rFonts w:eastAsia="黑体" w:cs="黑体"/>
          <w:b w:val="0"/>
          <w:bCs w:val="0"/>
          <w:sz w:val="32"/>
          <w:szCs w:val="36"/>
          <w:u w:val="none"/>
        </w:rPr>
      </w:pPr>
      <w:r>
        <w:rPr>
          <w:rFonts w:hint="eastAsia" w:eastAsia="黑体" w:cs="黑体"/>
          <w:b w:val="0"/>
          <w:bCs w:val="0"/>
          <w:sz w:val="32"/>
          <w:szCs w:val="36"/>
          <w:u w:val="none"/>
        </w:rPr>
        <w:t>二、</w:t>
      </w:r>
      <w:r>
        <w:rPr>
          <w:rFonts w:hint="eastAsia" w:eastAsia="黑体" w:cs="黑体"/>
          <w:b w:val="0"/>
          <w:bCs w:val="0"/>
          <w:sz w:val="32"/>
          <w:szCs w:val="36"/>
          <w:u w:val="none"/>
          <w:lang w:eastAsia="zh-CN"/>
        </w:rPr>
        <w:t>单位</w:t>
      </w:r>
      <w:r>
        <w:rPr>
          <w:rFonts w:hint="eastAsia" w:eastAsia="黑体" w:cs="黑体"/>
          <w:b w:val="0"/>
          <w:bCs w:val="0"/>
          <w:sz w:val="32"/>
          <w:szCs w:val="36"/>
          <w:u w:val="none"/>
        </w:rPr>
        <w:t>机构设置及预算单位构成情况</w:t>
      </w:r>
    </w:p>
    <w:p>
      <w:pPr>
        <w:pageBreakBefore w:val="0"/>
        <w:kinsoku/>
        <w:wordWrap/>
        <w:overflowPunct/>
        <w:topLinePunct w:val="0"/>
        <w:bidi w:val="0"/>
        <w:spacing w:before="190" w:line="560" w:lineRule="exact"/>
        <w:ind w:left="11" w:right="91" w:firstLine="635"/>
        <w:textAlignment w:val="auto"/>
        <w:rPr>
          <w:rFonts w:hint="eastAsia" w:ascii="仿宋" w:hAnsi="仿宋" w:eastAsia="仿宋" w:cs="仿宋"/>
          <w:w w:val="95"/>
          <w:kern w:val="2"/>
          <w:sz w:val="32"/>
          <w:szCs w:val="32"/>
          <w:u w:val="none"/>
          <w:lang w:val="en-US" w:eastAsia="zh-CN" w:bidi="ar-SA"/>
        </w:rPr>
      </w:pPr>
      <w:r>
        <w:rPr>
          <w:rFonts w:hint="eastAsia" w:ascii="仿宋" w:hAnsi="仿宋" w:eastAsia="仿宋" w:cs="仿宋"/>
          <w:w w:val="95"/>
          <w:kern w:val="2"/>
          <w:sz w:val="32"/>
          <w:szCs w:val="32"/>
          <w:u w:val="none"/>
          <w:lang w:val="en-US" w:eastAsia="zh-CN" w:bidi="ar-SA"/>
        </w:rPr>
        <w:t>1．根据单位职责分工，本单位内设机构包括办公室、港务科、通关协调科。本单位无下属单位。</w:t>
      </w:r>
    </w:p>
    <w:p>
      <w:pPr>
        <w:pageBreakBefore w:val="0"/>
        <w:kinsoku/>
        <w:wordWrap/>
        <w:overflowPunct/>
        <w:topLinePunct w:val="0"/>
        <w:bidi w:val="0"/>
        <w:spacing w:before="190" w:line="560" w:lineRule="exact"/>
        <w:ind w:left="11" w:right="91" w:firstLine="635"/>
        <w:textAlignment w:val="auto"/>
        <w:rPr>
          <w:rFonts w:hint="eastAsia" w:ascii="仿宋" w:hAnsi="仿宋" w:eastAsia="仿宋" w:cs="仿宋"/>
          <w:w w:val="95"/>
          <w:kern w:val="2"/>
          <w:sz w:val="32"/>
          <w:szCs w:val="32"/>
          <w:u w:val="none"/>
          <w:lang w:val="en-US" w:eastAsia="zh-CN" w:bidi="ar-SA"/>
        </w:rPr>
      </w:pPr>
      <w:r>
        <w:rPr>
          <w:rFonts w:hint="eastAsia" w:ascii="仿宋" w:hAnsi="仿宋" w:eastAsia="仿宋" w:cs="仿宋"/>
          <w:w w:val="95"/>
          <w:kern w:val="2"/>
          <w:sz w:val="32"/>
          <w:szCs w:val="32"/>
          <w:u w:val="none"/>
          <w:lang w:val="en-US" w:eastAsia="zh-CN" w:bidi="ar-SA"/>
        </w:rPr>
        <w:t>2．从预算单位构成看，纳入本单位2024年部门汇总预算编制范围的预算单位共计1家，具体包括：包头市口岸服务中心。</w:t>
      </w:r>
    </w:p>
    <w:p>
      <w:pPr>
        <w:pageBreakBefore w:val="0"/>
        <w:tabs>
          <w:tab w:val="left" w:pos="3532"/>
        </w:tabs>
        <w:kinsoku/>
        <w:wordWrap/>
        <w:overflowPunct/>
        <w:topLinePunct w:val="0"/>
        <w:autoSpaceDE w:val="0"/>
        <w:autoSpaceDN w:val="0"/>
        <w:bidi w:val="0"/>
        <w:adjustRightInd w:val="0"/>
        <w:spacing w:line="560" w:lineRule="exact"/>
        <w:jc w:val="both"/>
        <w:textAlignment w:val="auto"/>
        <w:rPr>
          <w:rFonts w:hint="eastAsia" w:ascii="仿宋_GB2312" w:hAnsi="仿宋_GB2312" w:eastAsia="仿宋_GB2312" w:cs="仿宋_GB2312"/>
          <w:b/>
          <w:bCs/>
          <w:sz w:val="32"/>
          <w:szCs w:val="32"/>
          <w:u w:val="none"/>
        </w:rPr>
      </w:pPr>
    </w:p>
    <w:p>
      <w:pPr>
        <w:pStyle w:val="2"/>
        <w:rPr>
          <w:rFonts w:hint="eastAsia"/>
        </w:rPr>
      </w:pPr>
    </w:p>
    <w:p>
      <w:pPr>
        <w:pageBreakBefore w:val="0"/>
        <w:kinsoku/>
        <w:wordWrap/>
        <w:overflowPunct/>
        <w:topLinePunct w:val="0"/>
        <w:bidi w:val="0"/>
        <w:spacing w:before="190" w:line="560" w:lineRule="exact"/>
        <w:ind w:right="91"/>
        <w:jc w:val="center"/>
        <w:textAlignment w:val="auto"/>
        <w:rPr>
          <w:rFonts w:hint="eastAsia" w:ascii="仿宋" w:hAnsi="仿宋" w:eastAsia="仿宋" w:cs="仿宋"/>
          <w:b/>
          <w:bCs/>
          <w:w w:val="95"/>
          <w:kern w:val="2"/>
          <w:sz w:val="32"/>
          <w:szCs w:val="32"/>
          <w:u w:val="none"/>
          <w:lang w:val="en-US" w:eastAsia="zh-CN" w:bidi="ar-SA"/>
        </w:rPr>
      </w:pPr>
      <w:r>
        <w:rPr>
          <w:rFonts w:hint="eastAsia" w:ascii="仿宋" w:hAnsi="仿宋" w:eastAsia="仿宋" w:cs="仿宋"/>
          <w:b/>
          <w:bCs/>
          <w:w w:val="95"/>
          <w:kern w:val="2"/>
          <w:sz w:val="32"/>
          <w:szCs w:val="32"/>
          <w:u w:val="none"/>
          <w:lang w:val="en-US" w:eastAsia="zh-CN" w:bidi="ar-SA"/>
        </w:rPr>
        <w:t>单位情况表</w:t>
      </w:r>
    </w:p>
    <w:tbl>
      <w:tblPr>
        <w:tblStyle w:val="20"/>
        <w:tblpPr w:leftFromText="180" w:rightFromText="180" w:vertAnchor="text" w:horzAnchor="page" w:tblpX="1407" w:tblpY="190"/>
        <w:tblOverlap w:val="never"/>
        <w:tblW w:w="9685" w:type="dxa"/>
        <w:tblInd w:w="0" w:type="dxa"/>
        <w:tblLayout w:type="fixed"/>
        <w:tblCellMar>
          <w:top w:w="0" w:type="dxa"/>
          <w:left w:w="108" w:type="dxa"/>
          <w:bottom w:w="0" w:type="dxa"/>
          <w:right w:w="108" w:type="dxa"/>
        </w:tblCellMar>
      </w:tblPr>
      <w:tblGrid>
        <w:gridCol w:w="1214"/>
        <w:gridCol w:w="4043"/>
        <w:gridCol w:w="4428"/>
      </w:tblGrid>
      <w:tr>
        <w:tblPrEx>
          <w:tblCellMar>
            <w:top w:w="0" w:type="dxa"/>
            <w:left w:w="108" w:type="dxa"/>
            <w:bottom w:w="0" w:type="dxa"/>
            <w:right w:w="108" w:type="dxa"/>
          </w:tblCellMar>
        </w:tblPrEx>
        <w:trPr>
          <w:trHeight w:val="630" w:hRule="atLeast"/>
        </w:trPr>
        <w:tc>
          <w:tcPr>
            <w:tcW w:w="12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bidi w:val="0"/>
              <w:spacing w:line="560" w:lineRule="exact"/>
              <w:jc w:val="center"/>
              <w:textAlignment w:val="auto"/>
              <w:rPr>
                <w:rFonts w:ascii="仿宋" w:hAnsi="仿宋" w:eastAsia="仿宋" w:cs="仿宋"/>
                <w:kern w:val="0"/>
                <w:sz w:val="30"/>
                <w:szCs w:val="30"/>
                <w:u w:val="none"/>
              </w:rPr>
            </w:pPr>
            <w:r>
              <w:rPr>
                <w:rFonts w:hint="eastAsia" w:ascii="仿宋" w:hAnsi="仿宋" w:eastAsia="仿宋" w:cs="仿宋"/>
                <w:kern w:val="0"/>
                <w:sz w:val="30"/>
                <w:szCs w:val="30"/>
                <w:u w:val="none"/>
              </w:rPr>
              <w:t>序号</w:t>
            </w:r>
          </w:p>
        </w:tc>
        <w:tc>
          <w:tcPr>
            <w:tcW w:w="4043"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bidi w:val="0"/>
              <w:spacing w:line="560" w:lineRule="exact"/>
              <w:jc w:val="center"/>
              <w:textAlignment w:val="auto"/>
              <w:rPr>
                <w:rFonts w:ascii="仿宋" w:hAnsi="仿宋" w:eastAsia="仿宋" w:cs="仿宋"/>
                <w:kern w:val="0"/>
                <w:sz w:val="30"/>
                <w:szCs w:val="30"/>
                <w:u w:val="none"/>
              </w:rPr>
            </w:pPr>
            <w:r>
              <w:rPr>
                <w:rFonts w:hint="eastAsia" w:ascii="仿宋" w:hAnsi="仿宋" w:eastAsia="仿宋" w:cs="仿宋"/>
                <w:kern w:val="0"/>
                <w:sz w:val="30"/>
                <w:szCs w:val="30"/>
                <w:u w:val="none"/>
              </w:rPr>
              <w:t>单位名称</w:t>
            </w:r>
          </w:p>
        </w:tc>
        <w:tc>
          <w:tcPr>
            <w:tcW w:w="4428"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bidi w:val="0"/>
              <w:spacing w:line="560" w:lineRule="exact"/>
              <w:jc w:val="center"/>
              <w:textAlignment w:val="auto"/>
              <w:rPr>
                <w:rFonts w:ascii="仿宋" w:hAnsi="仿宋" w:eastAsia="仿宋" w:cs="仿宋"/>
                <w:kern w:val="0"/>
                <w:sz w:val="30"/>
                <w:szCs w:val="30"/>
                <w:u w:val="none"/>
              </w:rPr>
            </w:pPr>
            <w:r>
              <w:rPr>
                <w:rFonts w:hint="eastAsia" w:ascii="仿宋" w:hAnsi="仿宋" w:eastAsia="仿宋" w:cs="仿宋"/>
                <w:kern w:val="0"/>
                <w:sz w:val="30"/>
                <w:szCs w:val="30"/>
                <w:u w:val="none"/>
              </w:rPr>
              <w:t>单位性质</w:t>
            </w:r>
          </w:p>
        </w:tc>
      </w:tr>
      <w:tr>
        <w:tblPrEx>
          <w:tblCellMar>
            <w:top w:w="0" w:type="dxa"/>
            <w:left w:w="108" w:type="dxa"/>
            <w:bottom w:w="0" w:type="dxa"/>
            <w:right w:w="108" w:type="dxa"/>
          </w:tblCellMar>
        </w:tblPrEx>
        <w:trPr>
          <w:trHeight w:val="364" w:hRule="atLeast"/>
        </w:trPr>
        <w:tc>
          <w:tcPr>
            <w:tcW w:w="1214"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bidi w:val="0"/>
              <w:spacing w:line="560" w:lineRule="exact"/>
              <w:jc w:val="center"/>
              <w:textAlignment w:val="auto"/>
              <w:rPr>
                <w:rFonts w:ascii="仿宋" w:hAnsi="仿宋" w:eastAsia="仿宋" w:cs="仿宋"/>
                <w:kern w:val="0"/>
                <w:sz w:val="30"/>
                <w:szCs w:val="30"/>
                <w:u w:val="none"/>
              </w:rPr>
            </w:pPr>
            <w:r>
              <w:rPr>
                <w:rFonts w:hint="eastAsia" w:ascii="仿宋" w:hAnsi="仿宋" w:eastAsia="仿宋" w:cs="仿宋"/>
                <w:kern w:val="0"/>
                <w:sz w:val="30"/>
                <w:szCs w:val="30"/>
                <w:u w:val="none"/>
              </w:rPr>
              <w:t>1</w:t>
            </w:r>
          </w:p>
        </w:tc>
        <w:tc>
          <w:tcPr>
            <w:tcW w:w="4043" w:type="dxa"/>
            <w:tcBorders>
              <w:top w:val="nil"/>
              <w:left w:val="nil"/>
              <w:bottom w:val="single" w:color="auto" w:sz="4" w:space="0"/>
              <w:right w:val="single" w:color="auto" w:sz="4" w:space="0"/>
            </w:tcBorders>
            <w:vAlign w:val="center"/>
          </w:tcPr>
          <w:p>
            <w:pPr>
              <w:pageBreakBefore w:val="0"/>
              <w:widowControl/>
              <w:kinsoku/>
              <w:wordWrap/>
              <w:overflowPunct/>
              <w:topLinePunct w:val="0"/>
              <w:bidi w:val="0"/>
              <w:spacing w:line="560" w:lineRule="exact"/>
              <w:jc w:val="center"/>
              <w:textAlignment w:val="auto"/>
              <w:rPr>
                <w:rFonts w:ascii="仿宋" w:hAnsi="仿宋" w:eastAsia="仿宋" w:cs="仿宋"/>
                <w:kern w:val="0"/>
                <w:sz w:val="30"/>
                <w:szCs w:val="30"/>
                <w:u w:val="none"/>
              </w:rPr>
            </w:pPr>
            <w:r>
              <w:rPr>
                <w:rFonts w:hint="eastAsia" w:ascii="仿宋" w:hAnsi="仿宋" w:eastAsia="仿宋" w:cs="仿宋"/>
                <w:kern w:val="0"/>
                <w:sz w:val="30"/>
                <w:szCs w:val="30"/>
                <w:u w:val="none"/>
                <w:lang w:eastAsia="zh-CN"/>
              </w:rPr>
              <w:t>包头市口岸服务中心</w:t>
            </w:r>
          </w:p>
        </w:tc>
        <w:tc>
          <w:tcPr>
            <w:tcW w:w="4428" w:type="dxa"/>
            <w:tcBorders>
              <w:top w:val="nil"/>
              <w:left w:val="nil"/>
              <w:bottom w:val="single" w:color="auto" w:sz="4" w:space="0"/>
              <w:right w:val="single" w:color="auto" w:sz="4" w:space="0"/>
            </w:tcBorders>
            <w:vAlign w:val="center"/>
          </w:tcPr>
          <w:p>
            <w:pPr>
              <w:pageBreakBefore w:val="0"/>
              <w:widowControl/>
              <w:kinsoku/>
              <w:wordWrap/>
              <w:overflowPunct/>
              <w:topLinePunct w:val="0"/>
              <w:bidi w:val="0"/>
              <w:spacing w:line="560" w:lineRule="exact"/>
              <w:jc w:val="center"/>
              <w:textAlignment w:val="auto"/>
              <w:rPr>
                <w:rFonts w:ascii="仿宋" w:hAnsi="仿宋" w:eastAsia="仿宋" w:cs="仿宋"/>
                <w:kern w:val="0"/>
                <w:sz w:val="30"/>
                <w:szCs w:val="30"/>
                <w:u w:val="none"/>
              </w:rPr>
            </w:pPr>
            <w:r>
              <w:rPr>
                <w:rFonts w:hint="eastAsia" w:ascii="仿宋" w:hAnsi="仿宋" w:eastAsia="仿宋" w:cs="仿宋"/>
                <w:kern w:val="0"/>
                <w:sz w:val="30"/>
                <w:szCs w:val="30"/>
                <w:u w:val="none"/>
              </w:rPr>
              <w:t>财政拨款的</w:t>
            </w:r>
            <w:r>
              <w:rPr>
                <w:rFonts w:hint="eastAsia" w:ascii="仿宋" w:hAnsi="仿宋" w:eastAsia="仿宋" w:cs="仿宋"/>
                <w:kern w:val="0"/>
                <w:sz w:val="30"/>
                <w:szCs w:val="30"/>
                <w:u w:val="none"/>
                <w:lang w:eastAsia="zh-CN"/>
              </w:rPr>
              <w:t>事业</w:t>
            </w:r>
            <w:r>
              <w:rPr>
                <w:rFonts w:hint="eastAsia" w:ascii="仿宋" w:hAnsi="仿宋" w:eastAsia="仿宋" w:cs="仿宋"/>
                <w:kern w:val="0"/>
                <w:sz w:val="30"/>
                <w:szCs w:val="30"/>
                <w:u w:val="none"/>
              </w:rPr>
              <w:t>单位</w:t>
            </w:r>
          </w:p>
        </w:tc>
      </w:tr>
    </w:tbl>
    <w:p>
      <w:pPr>
        <w:pageBreakBefore w:val="0"/>
        <w:kinsoku/>
        <w:wordWrap/>
        <w:overflowPunct/>
        <w:topLinePunct w:val="0"/>
        <w:bidi w:val="0"/>
        <w:spacing w:line="560" w:lineRule="exact"/>
        <w:textAlignment w:val="auto"/>
        <w:rPr>
          <w:rFonts w:hint="eastAsia" w:eastAsia="黑体" w:cs="黑体"/>
          <w:b w:val="0"/>
          <w:bCs w:val="0"/>
          <w:sz w:val="32"/>
          <w:szCs w:val="36"/>
          <w:u w:val="none"/>
        </w:rPr>
      </w:pPr>
    </w:p>
    <w:p>
      <w:pPr>
        <w:pageBreakBefore w:val="0"/>
        <w:kinsoku/>
        <w:wordWrap/>
        <w:overflowPunct/>
        <w:topLinePunct w:val="0"/>
        <w:bidi w:val="0"/>
        <w:spacing w:line="560" w:lineRule="exact"/>
        <w:ind w:firstLine="640" w:firstLineChars="200"/>
        <w:textAlignment w:val="auto"/>
        <w:rPr>
          <w:rFonts w:hint="eastAsia" w:eastAsia="黑体" w:cs="黑体"/>
          <w:b w:val="0"/>
          <w:bCs w:val="0"/>
          <w:sz w:val="32"/>
          <w:szCs w:val="36"/>
          <w:u w:val="none"/>
        </w:rPr>
      </w:pPr>
      <w:r>
        <w:rPr>
          <w:rFonts w:hint="eastAsia" w:eastAsia="黑体" w:cs="黑体"/>
          <w:b w:val="0"/>
          <w:bCs w:val="0"/>
          <w:sz w:val="32"/>
          <w:szCs w:val="36"/>
          <w:u w:val="none"/>
        </w:rPr>
        <w:t>三、</w:t>
      </w:r>
      <w:r>
        <w:rPr>
          <w:rFonts w:hint="eastAsia" w:eastAsia="黑体" w:cs="黑体"/>
          <w:b w:val="0"/>
          <w:bCs w:val="0"/>
          <w:sz w:val="32"/>
          <w:szCs w:val="36"/>
          <w:u w:val="none"/>
          <w:lang w:val="en-US" w:eastAsia="zh-CN"/>
        </w:rPr>
        <w:t>2024</w:t>
      </w:r>
      <w:r>
        <w:rPr>
          <w:rFonts w:hint="eastAsia" w:eastAsia="黑体" w:cs="黑体"/>
          <w:b w:val="0"/>
          <w:bCs w:val="0"/>
          <w:sz w:val="32"/>
          <w:szCs w:val="36"/>
          <w:u w:val="none"/>
        </w:rPr>
        <w:t>年</w:t>
      </w:r>
      <w:r>
        <w:rPr>
          <w:rFonts w:hint="eastAsia" w:eastAsia="黑体" w:cs="黑体"/>
          <w:b w:val="0"/>
          <w:bCs w:val="0"/>
          <w:sz w:val="32"/>
          <w:szCs w:val="36"/>
          <w:u w:val="none"/>
          <w:lang w:eastAsia="zh-CN"/>
        </w:rPr>
        <w:t>单位</w:t>
      </w:r>
      <w:r>
        <w:rPr>
          <w:rFonts w:hint="eastAsia" w:eastAsia="黑体" w:cs="黑体"/>
          <w:b w:val="0"/>
          <w:bCs w:val="0"/>
          <w:sz w:val="32"/>
          <w:szCs w:val="36"/>
          <w:u w:val="none"/>
        </w:rPr>
        <w:t>主要工作任务及目标</w:t>
      </w:r>
    </w:p>
    <w:p>
      <w:pPr>
        <w:pageBreakBefore w:val="0"/>
        <w:kinsoku/>
        <w:wordWrap/>
        <w:overflowPunct/>
        <w:topLinePunct w:val="0"/>
        <w:bidi w:val="0"/>
        <w:spacing w:before="190" w:line="560" w:lineRule="exact"/>
        <w:ind w:left="11" w:right="91" w:firstLine="635"/>
        <w:textAlignment w:val="auto"/>
        <w:rPr>
          <w:rFonts w:hint="eastAsia" w:ascii="仿宋" w:hAnsi="仿宋" w:eastAsia="仿宋" w:cs="仿宋"/>
          <w:w w:val="95"/>
          <w:kern w:val="2"/>
          <w:sz w:val="32"/>
          <w:szCs w:val="32"/>
          <w:u w:val="none"/>
          <w:lang w:val="en-US" w:eastAsia="zh-CN" w:bidi="ar-SA"/>
        </w:rPr>
      </w:pPr>
      <w:r>
        <w:rPr>
          <w:rFonts w:hint="eastAsia" w:ascii="楷体" w:hAnsi="楷体" w:eastAsia="楷体" w:cs="楷体"/>
          <w:b/>
          <w:bCs/>
          <w:kern w:val="2"/>
          <w:sz w:val="32"/>
          <w:szCs w:val="32"/>
          <w:u w:val="none"/>
          <w:lang w:val="en-US" w:eastAsia="zh-CN" w:bidi="ar-SA"/>
        </w:rPr>
        <w:t>（一）过货量方面：</w:t>
      </w:r>
      <w:r>
        <w:rPr>
          <w:rFonts w:hint="eastAsia" w:ascii="仿宋" w:hAnsi="仿宋" w:eastAsia="仿宋" w:cs="仿宋"/>
          <w:w w:val="95"/>
          <w:kern w:val="2"/>
          <w:sz w:val="32"/>
          <w:szCs w:val="32"/>
          <w:u w:val="none"/>
          <w:lang w:val="en-US" w:eastAsia="zh-CN" w:bidi="ar-SA"/>
        </w:rPr>
        <w:t>与达茂旗、联检单位、企业之间沟通协调，在巩固压缩通关时效的同时，不断加快智慧化建设，持续优化营商环境，着力提高口岸通关能力和货运量，全年过货量目标确保完成800万吨，力争达到1000万吨。</w:t>
      </w:r>
    </w:p>
    <w:p>
      <w:pPr>
        <w:pageBreakBefore w:val="0"/>
        <w:kinsoku/>
        <w:wordWrap/>
        <w:overflowPunct/>
        <w:topLinePunct w:val="0"/>
        <w:bidi w:val="0"/>
        <w:spacing w:before="190" w:line="560" w:lineRule="exact"/>
        <w:ind w:left="11" w:right="91" w:firstLine="635"/>
        <w:textAlignment w:val="auto"/>
        <w:rPr>
          <w:rFonts w:hint="eastAsia" w:ascii="仿宋" w:hAnsi="仿宋" w:eastAsia="仿宋" w:cs="仿宋"/>
          <w:w w:val="95"/>
          <w:kern w:val="2"/>
          <w:sz w:val="32"/>
          <w:szCs w:val="32"/>
          <w:u w:val="none"/>
          <w:lang w:val="en-US" w:eastAsia="zh-CN" w:bidi="ar-SA"/>
        </w:rPr>
      </w:pPr>
      <w:r>
        <w:rPr>
          <w:rFonts w:hint="eastAsia" w:ascii="楷体" w:hAnsi="楷体" w:eastAsia="楷体" w:cs="楷体"/>
          <w:b/>
          <w:bCs/>
          <w:kern w:val="2"/>
          <w:sz w:val="32"/>
          <w:szCs w:val="32"/>
          <w:u w:val="none"/>
          <w:lang w:val="en-US" w:eastAsia="zh-CN" w:bidi="ar-SA"/>
        </w:rPr>
        <w:t>（二）基础设施方面：</w:t>
      </w:r>
      <w:r>
        <w:rPr>
          <w:rFonts w:hint="eastAsia" w:ascii="仿宋" w:hAnsi="仿宋" w:eastAsia="仿宋" w:cs="仿宋"/>
          <w:w w:val="95"/>
          <w:kern w:val="2"/>
          <w:sz w:val="32"/>
          <w:szCs w:val="32"/>
          <w:u w:val="none"/>
          <w:lang w:val="en-US" w:eastAsia="zh-CN" w:bidi="ar-SA"/>
        </w:rPr>
        <w:t>围绕口岸高质量发展项目任务清单，完善基础设施建设，推动监管场地项目，通过以箱代储、边建边储，实现仓储能力达100万吨，货物周转能力达2000万吨。完善水、电、网等配套设施建设，不断提高应急保障能力。</w:t>
      </w:r>
    </w:p>
    <w:p>
      <w:pPr>
        <w:pageBreakBefore w:val="0"/>
        <w:kinsoku/>
        <w:wordWrap/>
        <w:overflowPunct/>
        <w:topLinePunct w:val="0"/>
        <w:bidi w:val="0"/>
        <w:spacing w:before="190" w:line="560" w:lineRule="exact"/>
        <w:ind w:left="11" w:right="91" w:firstLine="635"/>
        <w:textAlignment w:val="auto"/>
        <w:rPr>
          <w:rFonts w:hint="eastAsia" w:ascii="仿宋" w:hAnsi="仿宋" w:eastAsia="仿宋" w:cs="仿宋"/>
          <w:w w:val="95"/>
          <w:kern w:val="2"/>
          <w:sz w:val="32"/>
          <w:szCs w:val="32"/>
          <w:u w:val="none"/>
          <w:lang w:val="en-US" w:eastAsia="zh-CN" w:bidi="ar-SA"/>
        </w:rPr>
      </w:pPr>
      <w:r>
        <w:rPr>
          <w:rFonts w:hint="eastAsia" w:ascii="楷体" w:hAnsi="楷体" w:eastAsia="楷体" w:cs="楷体"/>
          <w:b/>
          <w:bCs/>
          <w:kern w:val="2"/>
          <w:sz w:val="32"/>
          <w:szCs w:val="32"/>
          <w:u w:val="none"/>
          <w:lang w:val="en-US" w:eastAsia="zh-CN" w:bidi="ar-SA"/>
        </w:rPr>
        <w:t>（三）重点项目方面：</w:t>
      </w:r>
      <w:r>
        <w:rPr>
          <w:rFonts w:hint="eastAsia" w:ascii="仿宋" w:hAnsi="仿宋" w:eastAsia="仿宋" w:cs="仿宋"/>
          <w:w w:val="95"/>
          <w:kern w:val="2"/>
          <w:sz w:val="32"/>
          <w:szCs w:val="32"/>
          <w:u w:val="none"/>
          <w:lang w:val="en-US" w:eastAsia="zh-CN" w:bidi="ar-SA"/>
        </w:rPr>
        <w:t>持续推进重点项目建设进度，开展货运通道扩建工程，完成物流园区服务区建设，推动4个正在建设的监管场地投入使用。</w:t>
      </w:r>
    </w:p>
    <w:p>
      <w:pPr>
        <w:pageBreakBefore w:val="0"/>
        <w:kinsoku/>
        <w:wordWrap/>
        <w:overflowPunct/>
        <w:topLinePunct w:val="0"/>
        <w:bidi w:val="0"/>
        <w:spacing w:before="190" w:line="560" w:lineRule="exact"/>
        <w:ind w:left="11" w:right="91" w:firstLine="635"/>
        <w:textAlignment w:val="auto"/>
        <w:rPr>
          <w:rFonts w:hint="eastAsia" w:ascii="仿宋" w:hAnsi="仿宋" w:eastAsia="仿宋" w:cs="仿宋"/>
          <w:w w:val="95"/>
          <w:kern w:val="2"/>
          <w:sz w:val="32"/>
          <w:szCs w:val="32"/>
          <w:u w:val="none"/>
          <w:lang w:val="en-US" w:eastAsia="zh-CN" w:bidi="ar-SA"/>
        </w:rPr>
      </w:pPr>
      <w:r>
        <w:rPr>
          <w:rFonts w:hint="eastAsia" w:ascii="楷体" w:hAnsi="楷体" w:eastAsia="楷体" w:cs="楷体"/>
          <w:b/>
          <w:bCs/>
          <w:kern w:val="2"/>
          <w:sz w:val="32"/>
          <w:szCs w:val="32"/>
          <w:u w:val="none"/>
          <w:lang w:val="en-US" w:eastAsia="zh-CN" w:bidi="ar-SA"/>
        </w:rPr>
        <w:t>（四）智慧口岸方面：</w:t>
      </w:r>
      <w:r>
        <w:rPr>
          <w:rFonts w:hint="eastAsia" w:ascii="仿宋" w:hAnsi="仿宋" w:eastAsia="仿宋" w:cs="仿宋"/>
          <w:w w:val="95"/>
          <w:kern w:val="2"/>
          <w:sz w:val="32"/>
          <w:szCs w:val="32"/>
          <w:u w:val="none"/>
          <w:lang w:val="en-US" w:eastAsia="zh-CN" w:bidi="ar-SA"/>
        </w:rPr>
        <w:t>推动智能物流园区项目建设，开展AGV无人驾驶运输模式投入使用，开展智能空轨建设前期工作。</w:t>
      </w:r>
    </w:p>
    <w:p>
      <w:pPr>
        <w:pageBreakBefore w:val="0"/>
        <w:kinsoku/>
        <w:wordWrap/>
        <w:overflowPunct/>
        <w:topLinePunct w:val="0"/>
        <w:bidi w:val="0"/>
        <w:spacing w:before="190" w:line="560" w:lineRule="exact"/>
        <w:ind w:left="11" w:right="91" w:firstLine="635"/>
        <w:textAlignment w:val="auto"/>
        <w:rPr>
          <w:rFonts w:hint="eastAsia" w:ascii="仿宋" w:hAnsi="仿宋" w:eastAsia="仿宋" w:cs="仿宋"/>
          <w:w w:val="95"/>
          <w:kern w:val="2"/>
          <w:sz w:val="32"/>
          <w:szCs w:val="32"/>
          <w:u w:val="none"/>
          <w:lang w:val="en-US" w:eastAsia="zh-CN" w:bidi="ar-SA"/>
        </w:rPr>
      </w:pPr>
      <w:r>
        <w:rPr>
          <w:rFonts w:hint="eastAsia" w:ascii="楷体" w:hAnsi="楷体" w:eastAsia="楷体" w:cs="楷体"/>
          <w:b/>
          <w:bCs/>
          <w:kern w:val="2"/>
          <w:sz w:val="32"/>
          <w:szCs w:val="32"/>
          <w:u w:val="none"/>
          <w:lang w:val="en-US" w:eastAsia="zh-CN" w:bidi="ar-SA"/>
        </w:rPr>
        <w:t>（五）跨境铁路方面：</w:t>
      </w:r>
      <w:r>
        <w:rPr>
          <w:rFonts w:hint="eastAsia" w:ascii="仿宋" w:hAnsi="仿宋" w:eastAsia="仿宋" w:cs="仿宋"/>
          <w:w w:val="95"/>
          <w:kern w:val="2"/>
          <w:sz w:val="32"/>
          <w:szCs w:val="32"/>
          <w:u w:val="none"/>
          <w:lang w:val="en-US" w:eastAsia="zh-CN" w:bidi="ar-SA"/>
        </w:rPr>
        <w:t>持续跟进满-杭跨境铁路项目建设，争取国家发改委将满—杭跨境铁路联接线项目立项。</w:t>
      </w:r>
    </w:p>
    <w:p>
      <w:pPr>
        <w:pageBreakBefore w:val="0"/>
        <w:kinsoku/>
        <w:wordWrap/>
        <w:overflowPunct/>
        <w:topLinePunct w:val="0"/>
        <w:bidi w:val="0"/>
        <w:spacing w:before="190" w:line="560" w:lineRule="exact"/>
        <w:ind w:left="11" w:right="91" w:firstLine="635"/>
        <w:textAlignment w:val="auto"/>
        <w:rPr>
          <w:rFonts w:hint="eastAsia" w:ascii="方正小标宋简体" w:hAnsi="方正小标宋简体" w:eastAsia="方正小标宋简体" w:cs="方正小标宋简体"/>
          <w:b w:val="0"/>
          <w:bCs w:val="0"/>
          <w:sz w:val="36"/>
          <w:szCs w:val="36"/>
          <w:u w:val="none"/>
        </w:rPr>
      </w:pPr>
      <w:r>
        <w:rPr>
          <w:rFonts w:hint="eastAsia" w:ascii="楷体" w:hAnsi="楷体" w:eastAsia="楷体" w:cs="楷体"/>
          <w:b/>
          <w:bCs/>
          <w:kern w:val="2"/>
          <w:sz w:val="32"/>
          <w:szCs w:val="32"/>
          <w:u w:val="none"/>
          <w:lang w:val="en-US" w:eastAsia="zh-CN" w:bidi="ar-SA"/>
        </w:rPr>
        <w:t>（六）航空口岸方面：</w:t>
      </w:r>
      <w:r>
        <w:rPr>
          <w:rFonts w:hint="eastAsia" w:ascii="仿宋" w:hAnsi="仿宋" w:eastAsia="仿宋" w:cs="仿宋"/>
          <w:w w:val="95"/>
          <w:kern w:val="2"/>
          <w:sz w:val="32"/>
          <w:szCs w:val="32"/>
          <w:u w:val="none"/>
          <w:lang w:val="en-US" w:eastAsia="zh-CN" w:bidi="ar-SA"/>
        </w:rPr>
        <w:t>开通包头至日韩、东南亚、蒙古国等主要城市的定期航线。依托航空口岸开展招商引资，大力发展临空经济。</w:t>
      </w:r>
    </w:p>
    <w:p>
      <w:pPr>
        <w:pStyle w:val="6"/>
        <w:pageBreakBefore w:val="0"/>
        <w:tabs>
          <w:tab w:val="left" w:pos="4392"/>
        </w:tabs>
        <w:kinsoku/>
        <w:wordWrap/>
        <w:overflowPunct/>
        <w:topLinePunct w:val="0"/>
        <w:bidi w:val="0"/>
        <w:spacing w:before="0" w:after="0" w:line="560" w:lineRule="exact"/>
        <w:jc w:val="center"/>
        <w:textAlignment w:val="auto"/>
        <w:rPr>
          <w:rFonts w:hint="eastAsia" w:ascii="方正小标宋简体" w:hAnsi="方正小标宋简体" w:eastAsia="方正小标宋简体" w:cs="方正小标宋简体"/>
          <w:b w:val="0"/>
          <w:bCs w:val="0"/>
          <w:sz w:val="36"/>
          <w:szCs w:val="36"/>
          <w:u w:val="none"/>
        </w:rPr>
      </w:pPr>
      <w:r>
        <w:rPr>
          <w:rFonts w:hint="eastAsia" w:ascii="方正小标宋简体" w:hAnsi="方正小标宋简体" w:eastAsia="方正小标宋简体" w:cs="方正小标宋简体"/>
          <w:b w:val="0"/>
          <w:bCs w:val="0"/>
          <w:sz w:val="36"/>
          <w:szCs w:val="36"/>
          <w:u w:val="none"/>
        </w:rPr>
        <w:t>第二部分</w:t>
      </w:r>
      <w:r>
        <w:rPr>
          <w:rFonts w:hint="eastAsia" w:ascii="方正小标宋简体" w:hAnsi="方正小标宋简体" w:eastAsia="方正小标宋简体" w:cs="方正小标宋简体"/>
          <w:b w:val="0"/>
          <w:bCs w:val="0"/>
          <w:sz w:val="36"/>
          <w:szCs w:val="36"/>
          <w:u w:val="none"/>
          <w:lang w:val="en-US" w:eastAsia="zh-CN"/>
        </w:rPr>
        <w:t>2024</w:t>
      </w:r>
      <w:r>
        <w:rPr>
          <w:rFonts w:hint="eastAsia" w:ascii="方正小标宋简体" w:hAnsi="方正小标宋简体" w:eastAsia="方正小标宋简体" w:cs="方正小标宋简体"/>
          <w:b w:val="0"/>
          <w:bCs w:val="0"/>
          <w:sz w:val="36"/>
          <w:szCs w:val="36"/>
          <w:u w:val="none"/>
        </w:rPr>
        <w:t>年度</w:t>
      </w:r>
      <w:r>
        <w:rPr>
          <w:rFonts w:hint="eastAsia" w:ascii="方正小标宋简体" w:hAnsi="方正小标宋简体" w:eastAsia="方正小标宋简体" w:cs="方正小标宋简体"/>
          <w:b w:val="0"/>
          <w:bCs w:val="0"/>
          <w:sz w:val="36"/>
          <w:szCs w:val="36"/>
          <w:u w:val="none"/>
          <w:lang w:eastAsia="zh-CN"/>
        </w:rPr>
        <w:t>单位</w:t>
      </w:r>
      <w:r>
        <w:rPr>
          <w:rFonts w:hint="eastAsia" w:ascii="方正小标宋简体" w:hAnsi="方正小标宋简体" w:eastAsia="方正小标宋简体" w:cs="方正小标宋简体"/>
          <w:b w:val="0"/>
          <w:bCs w:val="0"/>
          <w:sz w:val="36"/>
          <w:szCs w:val="36"/>
          <w:u w:val="none"/>
        </w:rPr>
        <w:t>预算情况说明</w:t>
      </w:r>
    </w:p>
    <w:p>
      <w:pPr>
        <w:pageBreakBefore w:val="0"/>
        <w:kinsoku/>
        <w:wordWrap/>
        <w:overflowPunct/>
        <w:topLinePunct w:val="0"/>
        <w:bidi w:val="0"/>
        <w:spacing w:line="560" w:lineRule="exact"/>
        <w:textAlignment w:val="auto"/>
        <w:rPr>
          <w:rFonts w:hint="eastAsia" w:ascii="方正小标宋简体" w:hAnsi="方正小标宋简体" w:eastAsia="方正小标宋简体" w:cs="方正小标宋简体"/>
          <w:sz w:val="36"/>
          <w:szCs w:val="36"/>
          <w:u w:val="none"/>
        </w:rPr>
      </w:pPr>
    </w:p>
    <w:p>
      <w:pPr>
        <w:pageBreakBefore w:val="0"/>
        <w:kinsoku/>
        <w:wordWrap/>
        <w:overflowPunct/>
        <w:topLinePunct w:val="0"/>
        <w:bidi w:val="0"/>
        <w:spacing w:line="560" w:lineRule="exact"/>
        <w:ind w:firstLine="640" w:firstLineChars="200"/>
        <w:textAlignment w:val="auto"/>
        <w:outlineLvl w:val="0"/>
        <w:rPr>
          <w:rFonts w:eastAsia="黑体" w:cs="黑体"/>
          <w:b w:val="0"/>
          <w:bCs w:val="0"/>
          <w:sz w:val="32"/>
          <w:szCs w:val="36"/>
          <w:u w:val="none"/>
        </w:rPr>
      </w:pPr>
      <w:r>
        <w:rPr>
          <w:rFonts w:hint="eastAsia" w:eastAsia="黑体" w:cs="黑体"/>
          <w:b w:val="0"/>
          <w:bCs w:val="0"/>
          <w:sz w:val="32"/>
          <w:szCs w:val="36"/>
          <w:u w:val="none"/>
        </w:rPr>
        <w:t>一、收支预算总体情况说明</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eastAsia" w:ascii="仿宋" w:hAnsi="仿宋" w:eastAsia="仿宋" w:cs="仿宋"/>
          <w:w w:val="95"/>
          <w:kern w:val="2"/>
          <w:sz w:val="32"/>
          <w:szCs w:val="32"/>
          <w:u w:val="none"/>
          <w:lang w:val="en-US" w:eastAsia="zh-CN" w:bidi="ar-SA"/>
        </w:rPr>
      </w:pPr>
      <w:r>
        <w:rPr>
          <w:rFonts w:hint="eastAsia" w:ascii="仿宋" w:hAnsi="仿宋" w:eastAsia="仿宋" w:cs="仿宋"/>
          <w:w w:val="95"/>
          <w:kern w:val="2"/>
          <w:sz w:val="32"/>
          <w:szCs w:val="32"/>
          <w:u w:val="none"/>
          <w:lang w:val="en-US" w:eastAsia="zh-CN" w:bidi="ar-SA"/>
        </w:rPr>
        <w:t>包头市口岸服务中心2024年度收入、支出预算总计465.5万元，与上年相比收、支预算总计各增加148.77万元，增长46.97%。其中：</w:t>
      </w:r>
    </w:p>
    <w:p>
      <w:pPr>
        <w:pStyle w:val="2"/>
        <w:pageBreakBefore w:val="0"/>
        <w:tabs>
          <w:tab w:val="left" w:pos="4275"/>
        </w:tabs>
        <w:kinsoku/>
        <w:wordWrap/>
        <w:overflowPunct/>
        <w:topLinePunct w:val="0"/>
        <w:bidi w:val="0"/>
        <w:spacing w:after="0" w:line="560" w:lineRule="exact"/>
        <w:ind w:firstLine="643" w:firstLineChars="200"/>
        <w:textAlignment w:val="auto"/>
        <w:rPr>
          <w:rFonts w:ascii="楷体" w:hAnsi="楷体" w:eastAsia="楷体" w:cs="楷体"/>
          <w:b/>
          <w:bCs/>
          <w:sz w:val="32"/>
          <w:szCs w:val="32"/>
          <w:u w:val="none"/>
        </w:rPr>
      </w:pPr>
      <w:r>
        <w:rPr>
          <w:rFonts w:hint="eastAsia" w:ascii="楷体" w:hAnsi="楷体" w:eastAsia="楷体" w:cs="楷体"/>
          <w:b/>
          <w:bCs/>
          <w:sz w:val="32"/>
          <w:szCs w:val="32"/>
          <w:u w:val="none"/>
        </w:rPr>
        <w:t>（一）收入预算总计</w:t>
      </w:r>
      <w:r>
        <w:rPr>
          <w:rFonts w:hint="eastAsia" w:ascii="楷体" w:hAnsi="楷体" w:eastAsia="楷体" w:cs="楷体"/>
          <w:b/>
          <w:bCs/>
          <w:sz w:val="32"/>
          <w:szCs w:val="32"/>
          <w:u w:val="none"/>
          <w:lang w:val="en-US" w:eastAsia="zh-CN"/>
        </w:rPr>
        <w:t>465.5</w:t>
      </w:r>
      <w:r>
        <w:rPr>
          <w:rFonts w:hint="eastAsia" w:ascii="楷体" w:hAnsi="楷体" w:eastAsia="楷体" w:cs="楷体"/>
          <w:b/>
          <w:bCs/>
          <w:sz w:val="32"/>
          <w:szCs w:val="32"/>
          <w:u w:val="none"/>
        </w:rPr>
        <w:t>万元。包括：</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1．本年收入合计</w:t>
      </w:r>
      <w:r>
        <w:rPr>
          <w:rFonts w:hint="eastAsia" w:ascii="仿宋" w:hAnsi="仿宋" w:eastAsia="仿宋" w:cs="仿宋"/>
          <w:w w:val="95"/>
          <w:kern w:val="2"/>
          <w:sz w:val="32"/>
          <w:szCs w:val="32"/>
          <w:u w:val="none"/>
          <w:lang w:val="en-US" w:eastAsia="zh-CN" w:bidi="ar-SA"/>
        </w:rPr>
        <w:t>465.5</w:t>
      </w:r>
      <w:r>
        <w:rPr>
          <w:rFonts w:hint="default" w:ascii="仿宋" w:hAnsi="仿宋" w:eastAsia="仿宋" w:cs="仿宋"/>
          <w:w w:val="95"/>
          <w:kern w:val="2"/>
          <w:sz w:val="32"/>
          <w:szCs w:val="32"/>
          <w:u w:val="none"/>
          <w:lang w:val="en-US" w:eastAsia="zh-CN" w:bidi="ar-SA"/>
        </w:rPr>
        <w:t>万元。</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（1）一般公共预算拨款收入</w:t>
      </w:r>
      <w:r>
        <w:rPr>
          <w:rFonts w:hint="eastAsia" w:ascii="仿宋" w:hAnsi="仿宋" w:eastAsia="仿宋" w:cs="仿宋"/>
          <w:w w:val="95"/>
          <w:kern w:val="2"/>
          <w:sz w:val="32"/>
          <w:szCs w:val="32"/>
          <w:u w:val="none"/>
          <w:lang w:val="en-US" w:eastAsia="zh-CN" w:bidi="ar-SA"/>
        </w:rPr>
        <w:t>300.14</w:t>
      </w:r>
      <w:r>
        <w:rPr>
          <w:rFonts w:hint="default" w:ascii="仿宋" w:hAnsi="仿宋" w:eastAsia="仿宋" w:cs="仿宋"/>
          <w:w w:val="95"/>
          <w:kern w:val="2"/>
          <w:sz w:val="32"/>
          <w:szCs w:val="32"/>
          <w:u w:val="none"/>
          <w:lang w:val="en-US" w:eastAsia="zh-CN" w:bidi="ar-SA"/>
        </w:rPr>
        <w:t>万元，与上年相比增加</w:t>
      </w:r>
      <w:r>
        <w:rPr>
          <w:rFonts w:hint="eastAsia" w:ascii="仿宋" w:hAnsi="仿宋" w:eastAsia="仿宋" w:cs="仿宋"/>
          <w:w w:val="95"/>
          <w:kern w:val="2"/>
          <w:sz w:val="32"/>
          <w:szCs w:val="32"/>
          <w:u w:val="none"/>
          <w:lang w:val="en-US" w:eastAsia="zh-CN" w:bidi="ar-SA"/>
        </w:rPr>
        <w:t>24.18</w:t>
      </w:r>
      <w:r>
        <w:rPr>
          <w:rFonts w:hint="default" w:ascii="仿宋" w:hAnsi="仿宋" w:eastAsia="仿宋" w:cs="仿宋"/>
          <w:w w:val="95"/>
          <w:kern w:val="2"/>
          <w:sz w:val="32"/>
          <w:szCs w:val="32"/>
          <w:u w:val="none"/>
          <w:lang w:val="en-US" w:eastAsia="zh-CN" w:bidi="ar-SA"/>
        </w:rPr>
        <w:t>万元，增长</w:t>
      </w:r>
      <w:r>
        <w:rPr>
          <w:rFonts w:hint="eastAsia" w:ascii="仿宋" w:hAnsi="仿宋" w:eastAsia="仿宋" w:cs="仿宋"/>
          <w:w w:val="95"/>
          <w:kern w:val="2"/>
          <w:sz w:val="32"/>
          <w:szCs w:val="32"/>
          <w:u w:val="none"/>
          <w:lang w:val="en-US" w:eastAsia="zh-CN" w:bidi="ar-SA"/>
        </w:rPr>
        <w:t>8.76</w:t>
      </w:r>
      <w:r>
        <w:rPr>
          <w:rFonts w:hint="default" w:ascii="仿宋" w:hAnsi="仿宋" w:eastAsia="仿宋" w:cs="仿宋"/>
          <w:w w:val="95"/>
          <w:kern w:val="2"/>
          <w:sz w:val="32"/>
          <w:szCs w:val="32"/>
          <w:u w:val="none"/>
          <w:lang w:val="en-US" w:eastAsia="zh-CN" w:bidi="ar-SA"/>
        </w:rPr>
        <w:t xml:space="preserve"> %。主要原因是</w:t>
      </w:r>
      <w:r>
        <w:rPr>
          <w:rFonts w:hint="eastAsia" w:ascii="仿宋" w:hAnsi="仿宋" w:eastAsia="仿宋" w:cs="仿宋"/>
          <w:w w:val="95"/>
          <w:kern w:val="2"/>
          <w:sz w:val="32"/>
          <w:szCs w:val="32"/>
          <w:u w:val="none"/>
          <w:lang w:val="en-US" w:eastAsia="zh-CN" w:bidi="ar-SA"/>
        </w:rPr>
        <w:t>一是有人员变动，人员经费增加；二是增加项目经费</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 xml:space="preserve">（2）政府性基金预算拨款收入 </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 xml:space="preserve"> 万元，与上年相比增加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万元，增长%。主要原因是</w:t>
      </w:r>
      <w:r>
        <w:rPr>
          <w:rFonts w:hint="eastAsia" w:ascii="仿宋" w:hAnsi="仿宋" w:eastAsia="仿宋" w:cs="仿宋"/>
          <w:w w:val="95"/>
          <w:kern w:val="2"/>
          <w:sz w:val="32"/>
          <w:szCs w:val="32"/>
          <w:u w:val="none"/>
          <w:lang w:val="en-US" w:eastAsia="zh-CN" w:bidi="ar-SA"/>
        </w:rPr>
        <w:t>不存在此项内容</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（3）国有资本经营预算拨款收入</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万元，与上年相比增加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万元，增长</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%。主要原因是</w:t>
      </w:r>
      <w:r>
        <w:rPr>
          <w:rFonts w:hint="eastAsia" w:ascii="仿宋" w:hAnsi="仿宋" w:eastAsia="仿宋" w:cs="仿宋"/>
          <w:w w:val="95"/>
          <w:kern w:val="2"/>
          <w:sz w:val="32"/>
          <w:szCs w:val="32"/>
          <w:u w:val="none"/>
          <w:lang w:val="en-US" w:eastAsia="zh-CN" w:bidi="ar-SA"/>
        </w:rPr>
        <w:t>不存在此项内容</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（4）财政专户管理资金收入</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万元，与上年相比增加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万元，增长</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%。主要原因是</w:t>
      </w:r>
      <w:r>
        <w:rPr>
          <w:rFonts w:hint="eastAsia" w:ascii="仿宋" w:hAnsi="仿宋" w:eastAsia="仿宋" w:cs="仿宋"/>
          <w:w w:val="95"/>
          <w:kern w:val="2"/>
          <w:sz w:val="32"/>
          <w:szCs w:val="32"/>
          <w:u w:val="none"/>
          <w:lang w:val="en-US" w:eastAsia="zh-CN" w:bidi="ar-SA"/>
        </w:rPr>
        <w:t>不存在此项内容</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（5）事业收入</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万元，与上年相比增加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万元，增长</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%。主要原因是</w:t>
      </w:r>
      <w:r>
        <w:rPr>
          <w:rFonts w:hint="eastAsia" w:ascii="仿宋" w:hAnsi="仿宋" w:eastAsia="仿宋" w:cs="仿宋"/>
          <w:w w:val="95"/>
          <w:kern w:val="2"/>
          <w:sz w:val="32"/>
          <w:szCs w:val="32"/>
          <w:u w:val="none"/>
          <w:lang w:val="en-US" w:eastAsia="zh-CN" w:bidi="ar-SA"/>
        </w:rPr>
        <w:t>不存在此项内容</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（6）事业单位经营收入</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万元，与上年相比增加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万元，增长</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%。主要原因是</w:t>
      </w:r>
      <w:r>
        <w:rPr>
          <w:rFonts w:hint="eastAsia" w:ascii="仿宋" w:hAnsi="仿宋" w:eastAsia="仿宋" w:cs="仿宋"/>
          <w:w w:val="95"/>
          <w:kern w:val="2"/>
          <w:sz w:val="32"/>
          <w:szCs w:val="32"/>
          <w:u w:val="none"/>
          <w:lang w:val="en-US" w:eastAsia="zh-CN" w:bidi="ar-SA"/>
        </w:rPr>
        <w:t>不存在此项内容</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（7）上级补助收入</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万元，与上年相比增加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万元，增长</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%。主要原因是</w:t>
      </w:r>
      <w:r>
        <w:rPr>
          <w:rFonts w:hint="eastAsia" w:ascii="仿宋" w:hAnsi="仿宋" w:eastAsia="仿宋" w:cs="仿宋"/>
          <w:w w:val="95"/>
          <w:kern w:val="2"/>
          <w:sz w:val="32"/>
          <w:szCs w:val="32"/>
          <w:u w:val="none"/>
          <w:lang w:val="en-US" w:eastAsia="zh-CN" w:bidi="ar-SA"/>
        </w:rPr>
        <w:t>不存在此项内容</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（8）附属单位上缴收入</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万元，与上年相比增加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万元，增长</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%。主要原因是</w:t>
      </w:r>
      <w:r>
        <w:rPr>
          <w:rFonts w:hint="eastAsia" w:ascii="仿宋" w:hAnsi="仿宋" w:eastAsia="仿宋" w:cs="仿宋"/>
          <w:w w:val="95"/>
          <w:kern w:val="2"/>
          <w:sz w:val="32"/>
          <w:szCs w:val="32"/>
          <w:u w:val="none"/>
          <w:lang w:val="en-US" w:eastAsia="zh-CN" w:bidi="ar-SA"/>
        </w:rPr>
        <w:t>不存在此项内容</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 xml:space="preserve">（9）其他收入 </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万元，与上年相比增加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万元，增长</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%。主要原因是</w:t>
      </w:r>
      <w:r>
        <w:rPr>
          <w:rFonts w:hint="eastAsia" w:ascii="仿宋" w:hAnsi="仿宋" w:eastAsia="仿宋" w:cs="仿宋"/>
          <w:w w:val="95"/>
          <w:kern w:val="2"/>
          <w:sz w:val="32"/>
          <w:szCs w:val="32"/>
          <w:u w:val="none"/>
          <w:lang w:val="en-US" w:eastAsia="zh-CN" w:bidi="ar-SA"/>
        </w:rPr>
        <w:t>不存在此项内容</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2．上年结转结余为</w:t>
      </w:r>
      <w:r>
        <w:rPr>
          <w:rFonts w:hint="eastAsia" w:ascii="仿宋" w:hAnsi="仿宋" w:eastAsia="仿宋" w:cs="仿宋"/>
          <w:w w:val="95"/>
          <w:kern w:val="2"/>
          <w:sz w:val="32"/>
          <w:szCs w:val="32"/>
          <w:u w:val="none"/>
          <w:lang w:val="en-US" w:eastAsia="zh-CN" w:bidi="ar-SA"/>
        </w:rPr>
        <w:t>165.36</w:t>
      </w:r>
      <w:r>
        <w:rPr>
          <w:rFonts w:hint="default" w:ascii="仿宋" w:hAnsi="仿宋" w:eastAsia="仿宋" w:cs="仿宋"/>
          <w:w w:val="95"/>
          <w:kern w:val="2"/>
          <w:sz w:val="32"/>
          <w:szCs w:val="32"/>
          <w:u w:val="none"/>
          <w:lang w:val="en-US" w:eastAsia="zh-CN" w:bidi="ar-SA"/>
        </w:rPr>
        <w:t>万元。与上年相比增加</w:t>
      </w:r>
      <w:r>
        <w:rPr>
          <w:rFonts w:hint="eastAsia" w:ascii="仿宋" w:hAnsi="仿宋" w:eastAsia="仿宋" w:cs="仿宋"/>
          <w:w w:val="95"/>
          <w:kern w:val="2"/>
          <w:sz w:val="32"/>
          <w:szCs w:val="32"/>
          <w:u w:val="none"/>
          <w:lang w:val="en-US" w:eastAsia="zh-CN" w:bidi="ar-SA"/>
        </w:rPr>
        <w:t>124.59</w:t>
      </w:r>
      <w:r>
        <w:rPr>
          <w:rFonts w:hint="default" w:ascii="仿宋" w:hAnsi="仿宋" w:eastAsia="仿宋" w:cs="仿宋"/>
          <w:w w:val="95"/>
          <w:kern w:val="2"/>
          <w:sz w:val="32"/>
          <w:szCs w:val="32"/>
          <w:u w:val="none"/>
          <w:lang w:val="en-US" w:eastAsia="zh-CN" w:bidi="ar-SA"/>
        </w:rPr>
        <w:t xml:space="preserve"> 万元，增长</w:t>
      </w:r>
      <w:r>
        <w:rPr>
          <w:rFonts w:hint="eastAsia" w:ascii="仿宋" w:hAnsi="仿宋" w:eastAsia="仿宋" w:cs="仿宋"/>
          <w:w w:val="95"/>
          <w:kern w:val="2"/>
          <w:sz w:val="32"/>
          <w:szCs w:val="32"/>
          <w:u w:val="none"/>
          <w:lang w:val="en-US" w:eastAsia="zh-CN" w:bidi="ar-SA"/>
        </w:rPr>
        <w:t>305.59</w:t>
      </w:r>
      <w:r>
        <w:rPr>
          <w:rFonts w:hint="default" w:ascii="仿宋" w:hAnsi="仿宋" w:eastAsia="仿宋" w:cs="仿宋"/>
          <w:w w:val="95"/>
          <w:kern w:val="2"/>
          <w:sz w:val="32"/>
          <w:szCs w:val="32"/>
          <w:u w:val="none"/>
          <w:lang w:val="en-US" w:eastAsia="zh-CN" w:bidi="ar-SA"/>
        </w:rPr>
        <w:t xml:space="preserve"> %。主要原因是</w:t>
      </w:r>
      <w:r>
        <w:rPr>
          <w:rFonts w:hint="eastAsia" w:ascii="仿宋" w:hAnsi="仿宋" w:eastAsia="仿宋" w:cs="仿宋"/>
          <w:w w:val="95"/>
          <w:kern w:val="2"/>
          <w:sz w:val="32"/>
          <w:szCs w:val="32"/>
          <w:u w:val="none"/>
          <w:lang w:val="en-US" w:eastAsia="zh-CN" w:bidi="ar-SA"/>
        </w:rPr>
        <w:t>2023年</w:t>
      </w:r>
      <w:r>
        <w:rPr>
          <w:rFonts w:hint="default" w:ascii="仿宋" w:hAnsi="仿宋" w:eastAsia="仿宋" w:cs="仿宋"/>
          <w:w w:val="95"/>
          <w:kern w:val="2"/>
          <w:sz w:val="32"/>
          <w:szCs w:val="32"/>
          <w:u w:val="none"/>
          <w:lang w:val="en-US" w:eastAsia="zh-CN" w:bidi="ar-SA"/>
        </w:rPr>
        <w:t>满都拉-杭吉跨境铁路项目工作经费</w:t>
      </w:r>
      <w:r>
        <w:rPr>
          <w:rFonts w:hint="eastAsia" w:ascii="仿宋" w:hAnsi="仿宋" w:eastAsia="仿宋" w:cs="仿宋"/>
          <w:w w:val="95"/>
          <w:kern w:val="2"/>
          <w:sz w:val="32"/>
          <w:szCs w:val="32"/>
          <w:u w:val="none"/>
          <w:lang w:val="en-US" w:eastAsia="zh-CN" w:bidi="ar-SA"/>
        </w:rPr>
        <w:t>、包头市口岸规划编制经费等项目经费存在未支付相关业务活动费用，结转至2024年进行支付</w:t>
      </w:r>
      <w:r>
        <w:rPr>
          <w:rFonts w:hint="default" w:ascii="仿宋" w:hAnsi="仿宋" w:eastAsia="仿宋" w:cs="仿宋"/>
          <w:w w:val="95"/>
          <w:kern w:val="2"/>
          <w:sz w:val="32"/>
          <w:szCs w:val="32"/>
          <w:u w:val="none"/>
          <w:lang w:val="en-US" w:eastAsia="zh-CN" w:bidi="ar-SA"/>
        </w:rPr>
        <w:t>。</w:t>
      </w:r>
    </w:p>
    <w:p>
      <w:pPr>
        <w:pStyle w:val="2"/>
        <w:pageBreakBefore w:val="0"/>
        <w:tabs>
          <w:tab w:val="left" w:pos="4275"/>
        </w:tabs>
        <w:kinsoku/>
        <w:wordWrap/>
        <w:overflowPunct/>
        <w:topLinePunct w:val="0"/>
        <w:bidi w:val="0"/>
        <w:spacing w:after="0" w:line="560" w:lineRule="exact"/>
        <w:ind w:firstLine="643" w:firstLineChars="200"/>
        <w:textAlignment w:val="auto"/>
        <w:rPr>
          <w:rFonts w:ascii="楷体" w:hAnsi="楷体" w:eastAsia="楷体" w:cs="楷体"/>
          <w:b/>
          <w:bCs/>
          <w:sz w:val="32"/>
          <w:szCs w:val="32"/>
          <w:u w:val="none"/>
        </w:rPr>
      </w:pPr>
      <w:r>
        <w:rPr>
          <w:rFonts w:hint="eastAsia" w:ascii="楷体" w:hAnsi="楷体" w:eastAsia="楷体" w:cs="楷体"/>
          <w:b/>
          <w:bCs/>
          <w:sz w:val="32"/>
          <w:szCs w:val="32"/>
          <w:u w:val="none"/>
        </w:rPr>
        <w:t>（二）支出预算总计</w:t>
      </w:r>
      <w:r>
        <w:rPr>
          <w:rFonts w:hint="eastAsia" w:ascii="楷体" w:hAnsi="楷体" w:eastAsia="楷体" w:cs="楷体"/>
          <w:b/>
          <w:bCs/>
          <w:sz w:val="32"/>
          <w:szCs w:val="32"/>
          <w:u w:val="none"/>
          <w:lang w:val="en-US" w:eastAsia="zh-CN"/>
        </w:rPr>
        <w:t>465.5</w:t>
      </w:r>
      <w:r>
        <w:rPr>
          <w:rFonts w:hint="eastAsia" w:ascii="楷体" w:hAnsi="楷体" w:eastAsia="楷体" w:cs="楷体"/>
          <w:b/>
          <w:bCs/>
          <w:sz w:val="32"/>
          <w:szCs w:val="32"/>
          <w:u w:val="none"/>
        </w:rPr>
        <w:t>万元。包括：</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 xml:space="preserve">1．本年支出合计 </w:t>
      </w:r>
      <w:r>
        <w:rPr>
          <w:rFonts w:hint="eastAsia" w:ascii="仿宋" w:hAnsi="仿宋" w:eastAsia="仿宋" w:cs="仿宋"/>
          <w:w w:val="95"/>
          <w:kern w:val="2"/>
          <w:sz w:val="32"/>
          <w:szCs w:val="32"/>
          <w:u w:val="none"/>
          <w:lang w:val="en-US" w:eastAsia="zh-CN" w:bidi="ar-SA"/>
        </w:rPr>
        <w:t>465.5</w:t>
      </w:r>
      <w:r>
        <w:rPr>
          <w:rFonts w:hint="default" w:ascii="仿宋" w:hAnsi="仿宋" w:eastAsia="仿宋" w:cs="仿宋"/>
          <w:w w:val="95"/>
          <w:kern w:val="2"/>
          <w:sz w:val="32"/>
          <w:szCs w:val="32"/>
          <w:u w:val="none"/>
          <w:lang w:val="en-US" w:eastAsia="zh-CN" w:bidi="ar-SA"/>
        </w:rPr>
        <w:t>万元。</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（1）一般公共服务（类）支出</w:t>
      </w:r>
      <w:r>
        <w:rPr>
          <w:rFonts w:hint="eastAsia" w:ascii="仿宋" w:hAnsi="仿宋" w:eastAsia="仿宋" w:cs="仿宋"/>
          <w:w w:val="95"/>
          <w:kern w:val="2"/>
          <w:sz w:val="32"/>
          <w:szCs w:val="32"/>
          <w:u w:val="none"/>
          <w:lang w:val="en-US" w:eastAsia="zh-CN" w:bidi="ar-SA"/>
        </w:rPr>
        <w:t>382.63</w:t>
      </w:r>
      <w:r>
        <w:rPr>
          <w:rFonts w:hint="default" w:ascii="仿宋" w:hAnsi="仿宋" w:eastAsia="仿宋" w:cs="仿宋"/>
          <w:w w:val="95"/>
          <w:kern w:val="2"/>
          <w:sz w:val="32"/>
          <w:szCs w:val="32"/>
          <w:u w:val="none"/>
          <w:lang w:val="en-US" w:eastAsia="zh-CN" w:bidi="ar-SA"/>
        </w:rPr>
        <w:t>万元，主要用于</w:t>
      </w:r>
      <w:r>
        <w:rPr>
          <w:rFonts w:hint="eastAsia" w:ascii="仿宋" w:hAnsi="仿宋" w:eastAsia="仿宋" w:cs="仿宋"/>
          <w:w w:val="95"/>
          <w:kern w:val="2"/>
          <w:sz w:val="32"/>
          <w:szCs w:val="32"/>
          <w:u w:val="none"/>
          <w:lang w:val="en-US" w:eastAsia="zh-CN" w:bidi="ar-SA"/>
        </w:rPr>
        <w:t>人员经费及保障单位日常运行经费</w:t>
      </w:r>
      <w:r>
        <w:rPr>
          <w:rFonts w:hint="default" w:ascii="仿宋" w:hAnsi="仿宋" w:eastAsia="仿宋" w:cs="仿宋"/>
          <w:w w:val="95"/>
          <w:kern w:val="2"/>
          <w:sz w:val="32"/>
          <w:szCs w:val="32"/>
          <w:u w:val="none"/>
          <w:lang w:val="en-US" w:eastAsia="zh-CN" w:bidi="ar-SA"/>
        </w:rPr>
        <w:t>。与上年相比增加</w:t>
      </w:r>
      <w:r>
        <w:rPr>
          <w:rFonts w:hint="eastAsia" w:ascii="仿宋" w:hAnsi="仿宋" w:eastAsia="仿宋" w:cs="仿宋"/>
          <w:w w:val="95"/>
          <w:kern w:val="2"/>
          <w:sz w:val="32"/>
          <w:szCs w:val="32"/>
          <w:u w:val="none"/>
          <w:lang w:val="en-US" w:eastAsia="zh-CN" w:bidi="ar-SA"/>
        </w:rPr>
        <w:t>110.84</w:t>
      </w:r>
      <w:r>
        <w:rPr>
          <w:rFonts w:hint="default" w:ascii="仿宋" w:hAnsi="仿宋" w:eastAsia="仿宋" w:cs="仿宋"/>
          <w:w w:val="95"/>
          <w:kern w:val="2"/>
          <w:sz w:val="32"/>
          <w:szCs w:val="32"/>
          <w:u w:val="none"/>
          <w:lang w:val="en-US" w:eastAsia="zh-CN" w:bidi="ar-SA"/>
        </w:rPr>
        <w:t>万元，增长</w:t>
      </w:r>
      <w:r>
        <w:rPr>
          <w:rFonts w:hint="eastAsia" w:ascii="仿宋" w:hAnsi="仿宋" w:eastAsia="仿宋" w:cs="仿宋"/>
          <w:w w:val="95"/>
          <w:kern w:val="2"/>
          <w:sz w:val="32"/>
          <w:szCs w:val="32"/>
          <w:u w:val="none"/>
          <w:lang w:val="en-US" w:eastAsia="zh-CN" w:bidi="ar-SA"/>
        </w:rPr>
        <w:t>40.78</w:t>
      </w:r>
      <w:r>
        <w:rPr>
          <w:rFonts w:hint="default" w:ascii="仿宋" w:hAnsi="仿宋" w:eastAsia="仿宋" w:cs="仿宋"/>
          <w:w w:val="95"/>
          <w:kern w:val="2"/>
          <w:sz w:val="32"/>
          <w:szCs w:val="32"/>
          <w:u w:val="none"/>
          <w:lang w:val="en-US" w:eastAsia="zh-CN" w:bidi="ar-SA"/>
        </w:rPr>
        <w:t>%。主要原因是</w:t>
      </w:r>
      <w:r>
        <w:rPr>
          <w:rFonts w:hint="eastAsia" w:ascii="仿宋" w:hAnsi="仿宋" w:eastAsia="仿宋" w:cs="仿宋"/>
          <w:w w:val="95"/>
          <w:kern w:val="2"/>
          <w:sz w:val="32"/>
          <w:szCs w:val="32"/>
          <w:u w:val="none"/>
          <w:lang w:val="en-US" w:eastAsia="zh-CN" w:bidi="ar-SA"/>
        </w:rPr>
        <w:t>一是有人员变动，人员经费增加；二是增加项目经费</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（2）</w:t>
      </w:r>
      <w:r>
        <w:rPr>
          <w:rFonts w:hint="eastAsia" w:ascii="仿宋" w:hAnsi="仿宋" w:eastAsia="仿宋" w:cs="仿宋"/>
          <w:w w:val="95"/>
          <w:kern w:val="2"/>
          <w:sz w:val="32"/>
          <w:szCs w:val="32"/>
          <w:u w:val="none"/>
          <w:lang w:val="en-US" w:eastAsia="zh-CN" w:bidi="ar-SA"/>
        </w:rPr>
        <w:t>社会保障和就业</w:t>
      </w:r>
      <w:r>
        <w:rPr>
          <w:rFonts w:hint="default" w:ascii="仿宋" w:hAnsi="仿宋" w:eastAsia="仿宋" w:cs="仿宋"/>
          <w:w w:val="95"/>
          <w:kern w:val="2"/>
          <w:sz w:val="32"/>
          <w:szCs w:val="32"/>
          <w:u w:val="none"/>
          <w:lang w:val="en-US" w:eastAsia="zh-CN" w:bidi="ar-SA"/>
        </w:rPr>
        <w:t>（类）支出</w:t>
      </w:r>
      <w:r>
        <w:rPr>
          <w:rFonts w:hint="eastAsia" w:ascii="仿宋" w:hAnsi="仿宋" w:eastAsia="仿宋" w:cs="仿宋"/>
          <w:w w:val="95"/>
          <w:kern w:val="2"/>
          <w:sz w:val="32"/>
          <w:szCs w:val="32"/>
          <w:u w:val="none"/>
          <w:lang w:val="en-US" w:eastAsia="zh-CN" w:bidi="ar-SA"/>
        </w:rPr>
        <w:t>15.52</w:t>
      </w:r>
      <w:r>
        <w:rPr>
          <w:rFonts w:hint="default" w:ascii="仿宋" w:hAnsi="仿宋" w:eastAsia="仿宋" w:cs="仿宋"/>
          <w:w w:val="95"/>
          <w:kern w:val="2"/>
          <w:sz w:val="32"/>
          <w:szCs w:val="32"/>
          <w:u w:val="none"/>
          <w:lang w:val="en-US" w:eastAsia="zh-CN" w:bidi="ar-SA"/>
        </w:rPr>
        <w:t>万元，主要用于</w:t>
      </w:r>
      <w:r>
        <w:rPr>
          <w:rFonts w:hint="eastAsia" w:ascii="仿宋" w:hAnsi="仿宋" w:eastAsia="仿宋" w:cs="仿宋"/>
          <w:w w:val="95"/>
          <w:kern w:val="2"/>
          <w:sz w:val="32"/>
          <w:szCs w:val="32"/>
          <w:u w:val="none"/>
          <w:lang w:val="en-US" w:eastAsia="zh-CN" w:bidi="ar-SA"/>
        </w:rPr>
        <w:t>职工养老保险缴纳</w:t>
      </w:r>
      <w:r>
        <w:rPr>
          <w:rFonts w:hint="default" w:ascii="仿宋" w:hAnsi="仿宋" w:eastAsia="仿宋" w:cs="仿宋"/>
          <w:w w:val="95"/>
          <w:kern w:val="2"/>
          <w:sz w:val="32"/>
          <w:szCs w:val="32"/>
          <w:u w:val="none"/>
          <w:lang w:val="en-US" w:eastAsia="zh-CN" w:bidi="ar-SA"/>
        </w:rPr>
        <w:t>。与上年相比</w:t>
      </w:r>
      <w:r>
        <w:rPr>
          <w:rFonts w:hint="eastAsia" w:ascii="仿宋" w:hAnsi="仿宋" w:eastAsia="仿宋" w:cs="仿宋"/>
          <w:w w:val="95"/>
          <w:kern w:val="2"/>
          <w:sz w:val="32"/>
          <w:szCs w:val="32"/>
          <w:u w:val="none"/>
          <w:lang w:val="en-US" w:eastAsia="zh-CN" w:bidi="ar-SA"/>
        </w:rPr>
        <w:t>增加2.43</w:t>
      </w:r>
      <w:r>
        <w:rPr>
          <w:rFonts w:hint="default" w:ascii="仿宋" w:hAnsi="仿宋" w:eastAsia="仿宋" w:cs="仿宋"/>
          <w:w w:val="95"/>
          <w:kern w:val="2"/>
          <w:sz w:val="32"/>
          <w:szCs w:val="32"/>
          <w:u w:val="none"/>
          <w:lang w:val="en-US" w:eastAsia="zh-CN" w:bidi="ar-SA"/>
        </w:rPr>
        <w:t>万元，</w:t>
      </w:r>
      <w:r>
        <w:rPr>
          <w:rFonts w:hint="eastAsia" w:ascii="仿宋" w:hAnsi="仿宋" w:eastAsia="仿宋" w:cs="仿宋"/>
          <w:w w:val="95"/>
          <w:kern w:val="2"/>
          <w:sz w:val="32"/>
          <w:szCs w:val="32"/>
          <w:u w:val="none"/>
          <w:lang w:val="en-US" w:eastAsia="zh-CN" w:bidi="ar-SA"/>
        </w:rPr>
        <w:t>增加18.56</w:t>
      </w:r>
      <w:r>
        <w:rPr>
          <w:rFonts w:hint="default" w:ascii="仿宋" w:hAnsi="仿宋" w:eastAsia="仿宋" w:cs="仿宋"/>
          <w:w w:val="95"/>
          <w:kern w:val="2"/>
          <w:sz w:val="32"/>
          <w:szCs w:val="32"/>
          <w:u w:val="none"/>
          <w:lang w:val="en-US" w:eastAsia="zh-CN" w:bidi="ar-SA"/>
        </w:rPr>
        <w:t>%。主要原因是</w:t>
      </w:r>
      <w:r>
        <w:rPr>
          <w:rFonts w:hint="eastAsia" w:ascii="仿宋" w:hAnsi="仿宋" w:eastAsia="仿宋" w:cs="仿宋"/>
          <w:w w:val="95"/>
          <w:kern w:val="2"/>
          <w:sz w:val="32"/>
          <w:szCs w:val="32"/>
          <w:u w:val="none"/>
          <w:lang w:val="en-US" w:eastAsia="zh-CN" w:bidi="ar-SA"/>
        </w:rPr>
        <w:t>一是人员变动；二是调整职工养老保险基数</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w:t>
      </w:r>
      <w:r>
        <w:rPr>
          <w:rFonts w:hint="eastAsia" w:ascii="仿宋" w:hAnsi="仿宋" w:eastAsia="仿宋" w:cs="仿宋"/>
          <w:w w:val="95"/>
          <w:kern w:val="2"/>
          <w:sz w:val="32"/>
          <w:szCs w:val="32"/>
          <w:u w:val="none"/>
          <w:lang w:val="en-US" w:eastAsia="zh-CN" w:bidi="ar-SA"/>
        </w:rPr>
        <w:t>3</w:t>
      </w:r>
      <w:r>
        <w:rPr>
          <w:rFonts w:hint="default" w:ascii="仿宋" w:hAnsi="仿宋" w:eastAsia="仿宋" w:cs="仿宋"/>
          <w:w w:val="95"/>
          <w:kern w:val="2"/>
          <w:sz w:val="32"/>
          <w:szCs w:val="32"/>
          <w:u w:val="none"/>
          <w:lang w:val="en-US" w:eastAsia="zh-CN" w:bidi="ar-SA"/>
        </w:rPr>
        <w:t>）</w:t>
      </w:r>
      <w:r>
        <w:rPr>
          <w:rFonts w:hint="eastAsia" w:ascii="仿宋" w:hAnsi="仿宋" w:eastAsia="仿宋" w:cs="仿宋"/>
          <w:w w:val="95"/>
          <w:kern w:val="2"/>
          <w:sz w:val="32"/>
          <w:szCs w:val="32"/>
          <w:u w:val="none"/>
          <w:lang w:val="en-US" w:eastAsia="zh-CN" w:bidi="ar-SA"/>
        </w:rPr>
        <w:t>卫生健康</w:t>
      </w:r>
      <w:r>
        <w:rPr>
          <w:rFonts w:hint="default" w:ascii="仿宋" w:hAnsi="仿宋" w:eastAsia="仿宋" w:cs="仿宋"/>
          <w:w w:val="95"/>
          <w:kern w:val="2"/>
          <w:sz w:val="32"/>
          <w:szCs w:val="32"/>
          <w:u w:val="none"/>
          <w:lang w:val="en-US" w:eastAsia="zh-CN" w:bidi="ar-SA"/>
        </w:rPr>
        <w:t>（类）支出</w:t>
      </w:r>
      <w:r>
        <w:rPr>
          <w:rFonts w:hint="eastAsia" w:ascii="仿宋" w:hAnsi="仿宋" w:eastAsia="仿宋" w:cs="仿宋"/>
          <w:w w:val="95"/>
          <w:kern w:val="2"/>
          <w:sz w:val="32"/>
          <w:szCs w:val="32"/>
          <w:u w:val="none"/>
          <w:lang w:val="en-US" w:eastAsia="zh-CN" w:bidi="ar-SA"/>
        </w:rPr>
        <w:t>6.33</w:t>
      </w:r>
      <w:r>
        <w:rPr>
          <w:rFonts w:hint="default" w:ascii="仿宋" w:hAnsi="仿宋" w:eastAsia="仿宋" w:cs="仿宋"/>
          <w:w w:val="95"/>
          <w:kern w:val="2"/>
          <w:sz w:val="32"/>
          <w:szCs w:val="32"/>
          <w:u w:val="none"/>
          <w:lang w:val="en-US" w:eastAsia="zh-CN" w:bidi="ar-SA"/>
        </w:rPr>
        <w:t>万元，主要用于</w:t>
      </w:r>
      <w:r>
        <w:rPr>
          <w:rFonts w:hint="eastAsia" w:ascii="仿宋" w:hAnsi="仿宋" w:eastAsia="仿宋" w:cs="仿宋"/>
          <w:w w:val="95"/>
          <w:kern w:val="2"/>
          <w:sz w:val="32"/>
          <w:szCs w:val="32"/>
          <w:u w:val="none"/>
          <w:lang w:val="en-US" w:eastAsia="zh-CN" w:bidi="ar-SA"/>
        </w:rPr>
        <w:t>职工医疗保险缴纳</w:t>
      </w:r>
      <w:r>
        <w:rPr>
          <w:rFonts w:hint="default" w:ascii="仿宋" w:hAnsi="仿宋" w:eastAsia="仿宋" w:cs="仿宋"/>
          <w:w w:val="95"/>
          <w:kern w:val="2"/>
          <w:sz w:val="32"/>
          <w:szCs w:val="32"/>
          <w:u w:val="none"/>
          <w:lang w:val="en-US" w:eastAsia="zh-CN" w:bidi="ar-SA"/>
        </w:rPr>
        <w:t>。与上年相比</w:t>
      </w:r>
      <w:r>
        <w:rPr>
          <w:rFonts w:hint="eastAsia" w:ascii="仿宋" w:hAnsi="仿宋" w:eastAsia="仿宋" w:cs="仿宋"/>
          <w:w w:val="95"/>
          <w:kern w:val="2"/>
          <w:sz w:val="32"/>
          <w:szCs w:val="32"/>
          <w:u w:val="none"/>
          <w:lang w:val="en-US" w:eastAsia="zh-CN" w:bidi="ar-SA"/>
        </w:rPr>
        <w:t>增加0.99</w:t>
      </w:r>
      <w:r>
        <w:rPr>
          <w:rFonts w:hint="default" w:ascii="仿宋" w:hAnsi="仿宋" w:eastAsia="仿宋" w:cs="仿宋"/>
          <w:w w:val="95"/>
          <w:kern w:val="2"/>
          <w:sz w:val="32"/>
          <w:szCs w:val="32"/>
          <w:u w:val="none"/>
          <w:lang w:val="en-US" w:eastAsia="zh-CN" w:bidi="ar-SA"/>
        </w:rPr>
        <w:t>万元，</w:t>
      </w:r>
      <w:r>
        <w:rPr>
          <w:rFonts w:hint="eastAsia" w:ascii="仿宋" w:hAnsi="仿宋" w:eastAsia="仿宋" w:cs="仿宋"/>
          <w:w w:val="95"/>
          <w:kern w:val="2"/>
          <w:sz w:val="32"/>
          <w:szCs w:val="32"/>
          <w:u w:val="none"/>
          <w:lang w:val="en-US" w:eastAsia="zh-CN" w:bidi="ar-SA"/>
        </w:rPr>
        <w:t>增加18.53</w:t>
      </w:r>
      <w:r>
        <w:rPr>
          <w:rFonts w:hint="default" w:ascii="仿宋" w:hAnsi="仿宋" w:eastAsia="仿宋" w:cs="仿宋"/>
          <w:w w:val="95"/>
          <w:kern w:val="2"/>
          <w:sz w:val="32"/>
          <w:szCs w:val="32"/>
          <w:u w:val="none"/>
          <w:lang w:val="en-US" w:eastAsia="zh-CN" w:bidi="ar-SA"/>
        </w:rPr>
        <w:t>%。主要原因是</w:t>
      </w:r>
      <w:r>
        <w:rPr>
          <w:rFonts w:hint="eastAsia" w:ascii="仿宋" w:hAnsi="仿宋" w:eastAsia="仿宋" w:cs="仿宋"/>
          <w:w w:val="95"/>
          <w:kern w:val="2"/>
          <w:sz w:val="32"/>
          <w:szCs w:val="32"/>
          <w:u w:val="none"/>
          <w:lang w:val="en-US" w:eastAsia="zh-CN" w:bidi="ar-SA"/>
        </w:rPr>
        <w:t>一是人员变动；二是调整职工医疗保险基数</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eastAsia"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w:t>
      </w:r>
      <w:r>
        <w:rPr>
          <w:rFonts w:hint="eastAsia" w:ascii="仿宋" w:hAnsi="仿宋" w:eastAsia="仿宋" w:cs="仿宋"/>
          <w:w w:val="95"/>
          <w:kern w:val="2"/>
          <w:sz w:val="32"/>
          <w:szCs w:val="32"/>
          <w:u w:val="none"/>
          <w:lang w:val="en-US" w:eastAsia="zh-CN" w:bidi="ar-SA"/>
        </w:rPr>
        <w:t>4</w:t>
      </w:r>
      <w:r>
        <w:rPr>
          <w:rFonts w:hint="default" w:ascii="仿宋" w:hAnsi="仿宋" w:eastAsia="仿宋" w:cs="仿宋"/>
          <w:w w:val="95"/>
          <w:kern w:val="2"/>
          <w:sz w:val="32"/>
          <w:szCs w:val="32"/>
          <w:u w:val="none"/>
          <w:lang w:val="en-US" w:eastAsia="zh-CN" w:bidi="ar-SA"/>
        </w:rPr>
        <w:t>）</w:t>
      </w:r>
      <w:r>
        <w:rPr>
          <w:rFonts w:hint="eastAsia" w:ascii="仿宋" w:hAnsi="仿宋" w:eastAsia="仿宋" w:cs="仿宋"/>
          <w:w w:val="95"/>
          <w:kern w:val="2"/>
          <w:sz w:val="32"/>
          <w:szCs w:val="32"/>
          <w:u w:val="none"/>
          <w:lang w:val="en-US" w:eastAsia="zh-CN" w:bidi="ar-SA"/>
        </w:rPr>
        <w:t>商业服务业等</w:t>
      </w:r>
      <w:r>
        <w:rPr>
          <w:rFonts w:hint="default" w:ascii="仿宋" w:hAnsi="仿宋" w:eastAsia="仿宋" w:cs="仿宋"/>
          <w:w w:val="95"/>
          <w:kern w:val="2"/>
          <w:sz w:val="32"/>
          <w:szCs w:val="32"/>
          <w:u w:val="none"/>
          <w:lang w:val="en-US" w:eastAsia="zh-CN" w:bidi="ar-SA"/>
        </w:rPr>
        <w:t>（类）支出</w:t>
      </w:r>
      <w:r>
        <w:rPr>
          <w:rFonts w:hint="eastAsia" w:ascii="仿宋" w:hAnsi="仿宋" w:eastAsia="仿宋" w:cs="仿宋"/>
          <w:w w:val="95"/>
          <w:kern w:val="2"/>
          <w:sz w:val="32"/>
          <w:szCs w:val="32"/>
          <w:u w:val="none"/>
          <w:lang w:val="en-US" w:eastAsia="zh-CN" w:bidi="ar-SA"/>
        </w:rPr>
        <w:t>48.89</w:t>
      </w:r>
      <w:r>
        <w:rPr>
          <w:rFonts w:hint="default" w:ascii="仿宋" w:hAnsi="仿宋" w:eastAsia="仿宋" w:cs="仿宋"/>
          <w:w w:val="95"/>
          <w:kern w:val="2"/>
          <w:sz w:val="32"/>
          <w:szCs w:val="32"/>
          <w:u w:val="none"/>
          <w:lang w:val="en-US" w:eastAsia="zh-CN" w:bidi="ar-SA"/>
        </w:rPr>
        <w:t>万元，主要用于</w:t>
      </w:r>
      <w:r>
        <w:rPr>
          <w:rFonts w:hint="eastAsia" w:ascii="仿宋" w:hAnsi="仿宋" w:eastAsia="仿宋" w:cs="仿宋"/>
          <w:w w:val="95"/>
          <w:kern w:val="2"/>
          <w:sz w:val="32"/>
          <w:szCs w:val="32"/>
          <w:u w:val="none"/>
          <w:lang w:val="en-US" w:eastAsia="zh-CN" w:bidi="ar-SA"/>
        </w:rPr>
        <w:t>支付口岸规划编制费、支付包头机场航空相关项目业务费用、支付《包头市口岸办监控视频指挥中心》项目质保金</w:t>
      </w:r>
      <w:r>
        <w:rPr>
          <w:rFonts w:hint="default" w:ascii="仿宋" w:hAnsi="仿宋" w:eastAsia="仿宋" w:cs="仿宋"/>
          <w:w w:val="95"/>
          <w:kern w:val="2"/>
          <w:sz w:val="32"/>
          <w:szCs w:val="32"/>
          <w:u w:val="none"/>
          <w:lang w:val="en-US" w:eastAsia="zh-CN" w:bidi="ar-SA"/>
        </w:rPr>
        <w:t>。与上年相比</w:t>
      </w:r>
      <w:r>
        <w:rPr>
          <w:rFonts w:hint="eastAsia" w:ascii="仿宋" w:hAnsi="仿宋" w:eastAsia="仿宋" w:cs="仿宋"/>
          <w:w w:val="95"/>
          <w:kern w:val="2"/>
          <w:sz w:val="32"/>
          <w:szCs w:val="32"/>
          <w:u w:val="none"/>
          <w:lang w:val="en-US" w:eastAsia="zh-CN" w:bidi="ar-SA"/>
        </w:rPr>
        <w:t>增加32.65</w:t>
      </w:r>
      <w:r>
        <w:rPr>
          <w:rFonts w:hint="default" w:ascii="仿宋" w:hAnsi="仿宋" w:eastAsia="仿宋" w:cs="仿宋"/>
          <w:w w:val="95"/>
          <w:kern w:val="2"/>
          <w:sz w:val="32"/>
          <w:szCs w:val="32"/>
          <w:u w:val="none"/>
          <w:lang w:val="en-US" w:eastAsia="zh-CN" w:bidi="ar-SA"/>
        </w:rPr>
        <w:t>万元，</w:t>
      </w:r>
      <w:r>
        <w:rPr>
          <w:rFonts w:hint="eastAsia" w:ascii="仿宋" w:hAnsi="仿宋" w:eastAsia="仿宋" w:cs="仿宋"/>
          <w:w w:val="95"/>
          <w:kern w:val="2"/>
          <w:sz w:val="32"/>
          <w:szCs w:val="32"/>
          <w:u w:val="none"/>
          <w:lang w:val="en-US" w:eastAsia="zh-CN" w:bidi="ar-SA"/>
        </w:rPr>
        <w:t>增长201.04</w:t>
      </w:r>
      <w:r>
        <w:rPr>
          <w:rFonts w:hint="default" w:ascii="仿宋" w:hAnsi="仿宋" w:eastAsia="仿宋" w:cs="仿宋"/>
          <w:w w:val="95"/>
          <w:kern w:val="2"/>
          <w:sz w:val="32"/>
          <w:szCs w:val="32"/>
          <w:u w:val="none"/>
          <w:lang w:val="en-US" w:eastAsia="zh-CN" w:bidi="ar-SA"/>
        </w:rPr>
        <w:t>%。主要原因是</w:t>
      </w:r>
      <w:r>
        <w:rPr>
          <w:rFonts w:hint="eastAsia" w:ascii="仿宋" w:hAnsi="仿宋" w:eastAsia="仿宋" w:cs="仿宋"/>
          <w:w w:val="95"/>
          <w:kern w:val="2"/>
          <w:sz w:val="32"/>
          <w:szCs w:val="32"/>
          <w:u w:val="none"/>
          <w:lang w:val="en-US" w:eastAsia="zh-CN" w:bidi="ar-SA"/>
        </w:rPr>
        <w:t>存在未支付相关业务活动费用，结转至2024年进行支付。</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w:t>
      </w:r>
      <w:r>
        <w:rPr>
          <w:rFonts w:hint="eastAsia" w:ascii="仿宋" w:hAnsi="仿宋" w:eastAsia="仿宋" w:cs="仿宋"/>
          <w:w w:val="95"/>
          <w:kern w:val="2"/>
          <w:sz w:val="32"/>
          <w:szCs w:val="32"/>
          <w:u w:val="none"/>
          <w:lang w:val="en-US" w:eastAsia="zh-CN" w:bidi="ar-SA"/>
        </w:rPr>
        <w:t>5</w:t>
      </w:r>
      <w:r>
        <w:rPr>
          <w:rFonts w:hint="default" w:ascii="仿宋" w:hAnsi="仿宋" w:eastAsia="仿宋" w:cs="仿宋"/>
          <w:w w:val="95"/>
          <w:kern w:val="2"/>
          <w:sz w:val="32"/>
          <w:szCs w:val="32"/>
          <w:u w:val="none"/>
          <w:lang w:val="en-US" w:eastAsia="zh-CN" w:bidi="ar-SA"/>
        </w:rPr>
        <w:t>）</w:t>
      </w:r>
      <w:r>
        <w:rPr>
          <w:rFonts w:hint="eastAsia" w:ascii="仿宋" w:hAnsi="仿宋" w:eastAsia="仿宋" w:cs="仿宋"/>
          <w:w w:val="95"/>
          <w:kern w:val="2"/>
          <w:sz w:val="32"/>
          <w:szCs w:val="32"/>
          <w:u w:val="none"/>
          <w:lang w:val="en-US" w:eastAsia="zh-CN" w:bidi="ar-SA"/>
        </w:rPr>
        <w:t>住房保障</w:t>
      </w:r>
      <w:r>
        <w:rPr>
          <w:rFonts w:hint="default" w:ascii="仿宋" w:hAnsi="仿宋" w:eastAsia="仿宋" w:cs="仿宋"/>
          <w:w w:val="95"/>
          <w:kern w:val="2"/>
          <w:sz w:val="32"/>
          <w:szCs w:val="32"/>
          <w:u w:val="none"/>
          <w:lang w:val="en-US" w:eastAsia="zh-CN" w:bidi="ar-SA"/>
        </w:rPr>
        <w:t>（类）支出</w:t>
      </w:r>
      <w:r>
        <w:rPr>
          <w:rFonts w:hint="eastAsia" w:ascii="仿宋" w:hAnsi="仿宋" w:eastAsia="仿宋" w:cs="仿宋"/>
          <w:w w:val="95"/>
          <w:kern w:val="2"/>
          <w:sz w:val="32"/>
          <w:szCs w:val="32"/>
          <w:u w:val="none"/>
          <w:lang w:val="en-US" w:eastAsia="zh-CN" w:bidi="ar-SA"/>
        </w:rPr>
        <w:t>12.13</w:t>
      </w:r>
      <w:r>
        <w:rPr>
          <w:rFonts w:hint="default" w:ascii="仿宋" w:hAnsi="仿宋" w:eastAsia="仿宋" w:cs="仿宋"/>
          <w:w w:val="95"/>
          <w:kern w:val="2"/>
          <w:sz w:val="32"/>
          <w:szCs w:val="32"/>
          <w:u w:val="none"/>
          <w:lang w:val="en-US" w:eastAsia="zh-CN" w:bidi="ar-SA"/>
        </w:rPr>
        <w:t>万元</w:t>
      </w:r>
      <w:r>
        <w:rPr>
          <w:rFonts w:hint="eastAsia" w:ascii="仿宋" w:hAnsi="仿宋" w:eastAsia="仿宋" w:cs="仿宋"/>
          <w:w w:val="95"/>
          <w:kern w:val="2"/>
          <w:sz w:val="32"/>
          <w:szCs w:val="32"/>
          <w:u w:val="none"/>
          <w:lang w:val="en-US" w:eastAsia="zh-CN" w:bidi="ar-SA"/>
        </w:rPr>
        <w:t>，</w:t>
      </w:r>
      <w:r>
        <w:rPr>
          <w:rFonts w:hint="default" w:ascii="仿宋" w:hAnsi="仿宋" w:eastAsia="仿宋" w:cs="仿宋"/>
          <w:w w:val="95"/>
          <w:kern w:val="2"/>
          <w:sz w:val="32"/>
          <w:szCs w:val="32"/>
          <w:u w:val="none"/>
          <w:lang w:val="en-US" w:eastAsia="zh-CN" w:bidi="ar-SA"/>
        </w:rPr>
        <w:t>主要用于</w:t>
      </w:r>
      <w:r>
        <w:rPr>
          <w:rFonts w:hint="eastAsia" w:ascii="仿宋" w:hAnsi="仿宋" w:eastAsia="仿宋" w:cs="仿宋"/>
          <w:w w:val="95"/>
          <w:kern w:val="2"/>
          <w:sz w:val="32"/>
          <w:szCs w:val="32"/>
          <w:u w:val="none"/>
          <w:lang w:val="en-US" w:eastAsia="zh-CN" w:bidi="ar-SA"/>
        </w:rPr>
        <w:t>职工住房公积金</w:t>
      </w:r>
      <w:r>
        <w:rPr>
          <w:rFonts w:hint="default" w:ascii="仿宋" w:hAnsi="仿宋" w:eastAsia="仿宋" w:cs="仿宋"/>
          <w:w w:val="95"/>
          <w:kern w:val="2"/>
          <w:sz w:val="32"/>
          <w:szCs w:val="32"/>
          <w:u w:val="none"/>
          <w:lang w:val="en-US" w:eastAsia="zh-CN" w:bidi="ar-SA"/>
        </w:rPr>
        <w:t>。与上年相比</w:t>
      </w:r>
      <w:r>
        <w:rPr>
          <w:rFonts w:hint="eastAsia" w:ascii="仿宋" w:hAnsi="仿宋" w:eastAsia="仿宋" w:cs="仿宋"/>
          <w:w w:val="95"/>
          <w:kern w:val="2"/>
          <w:sz w:val="32"/>
          <w:szCs w:val="32"/>
          <w:u w:val="none"/>
          <w:lang w:val="en-US" w:eastAsia="zh-CN" w:bidi="ar-SA"/>
        </w:rPr>
        <w:t>增加1.87</w:t>
      </w:r>
      <w:r>
        <w:rPr>
          <w:rFonts w:hint="default" w:ascii="仿宋" w:hAnsi="仿宋" w:eastAsia="仿宋" w:cs="仿宋"/>
          <w:w w:val="95"/>
          <w:kern w:val="2"/>
          <w:sz w:val="32"/>
          <w:szCs w:val="32"/>
          <w:u w:val="none"/>
          <w:lang w:val="en-US" w:eastAsia="zh-CN" w:bidi="ar-SA"/>
        </w:rPr>
        <w:t>万元，</w:t>
      </w:r>
      <w:r>
        <w:rPr>
          <w:rFonts w:hint="eastAsia" w:ascii="仿宋" w:hAnsi="仿宋" w:eastAsia="仿宋" w:cs="仿宋"/>
          <w:w w:val="95"/>
          <w:kern w:val="2"/>
          <w:sz w:val="32"/>
          <w:szCs w:val="32"/>
          <w:u w:val="none"/>
          <w:lang w:val="en-US" w:eastAsia="zh-CN" w:bidi="ar-SA"/>
        </w:rPr>
        <w:t>增加18.22</w:t>
      </w:r>
      <w:r>
        <w:rPr>
          <w:rFonts w:hint="default" w:ascii="仿宋" w:hAnsi="仿宋" w:eastAsia="仿宋" w:cs="仿宋"/>
          <w:w w:val="95"/>
          <w:kern w:val="2"/>
          <w:sz w:val="32"/>
          <w:szCs w:val="32"/>
          <w:u w:val="none"/>
          <w:lang w:val="en-US" w:eastAsia="zh-CN" w:bidi="ar-SA"/>
        </w:rPr>
        <w:t>%。主要原因是</w:t>
      </w:r>
      <w:r>
        <w:rPr>
          <w:rFonts w:hint="eastAsia" w:ascii="仿宋" w:hAnsi="仿宋" w:eastAsia="仿宋" w:cs="仿宋"/>
          <w:w w:val="95"/>
          <w:kern w:val="2"/>
          <w:sz w:val="32"/>
          <w:szCs w:val="32"/>
          <w:u w:val="none"/>
          <w:lang w:val="en-US" w:eastAsia="zh-CN" w:bidi="ar-SA"/>
        </w:rPr>
        <w:t>一是人员变动；二是调整职工住房公积金基数。</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2．年终结转结余为</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万元，主要原因是</w:t>
      </w:r>
      <w:r>
        <w:rPr>
          <w:rFonts w:hint="eastAsia" w:ascii="仿宋" w:hAnsi="仿宋" w:eastAsia="仿宋" w:cs="仿宋"/>
          <w:w w:val="95"/>
          <w:kern w:val="2"/>
          <w:sz w:val="32"/>
          <w:szCs w:val="32"/>
          <w:u w:val="none"/>
          <w:lang w:val="en-US" w:eastAsia="zh-CN" w:bidi="ar-SA"/>
        </w:rPr>
        <w:t>不存在此项内容</w:t>
      </w:r>
      <w:r>
        <w:rPr>
          <w:rFonts w:hint="default" w:ascii="仿宋" w:hAnsi="仿宋" w:eastAsia="仿宋" w:cs="仿宋"/>
          <w:w w:val="95"/>
          <w:kern w:val="2"/>
          <w:sz w:val="32"/>
          <w:szCs w:val="32"/>
          <w:u w:val="none"/>
          <w:lang w:val="en-US" w:eastAsia="zh-CN" w:bidi="ar-SA"/>
        </w:rPr>
        <w:t>。</w:t>
      </w:r>
    </w:p>
    <w:p>
      <w:pPr>
        <w:pageBreakBefore w:val="0"/>
        <w:kinsoku/>
        <w:wordWrap/>
        <w:overflowPunct/>
        <w:topLinePunct w:val="0"/>
        <w:bidi w:val="0"/>
        <w:spacing w:line="560" w:lineRule="exact"/>
        <w:ind w:firstLine="640" w:firstLineChars="200"/>
        <w:textAlignment w:val="auto"/>
        <w:outlineLvl w:val="0"/>
        <w:rPr>
          <w:rFonts w:hint="eastAsia" w:eastAsia="黑体" w:cs="黑体"/>
          <w:b w:val="0"/>
          <w:bCs w:val="0"/>
          <w:sz w:val="32"/>
          <w:szCs w:val="36"/>
          <w:u w:val="none"/>
        </w:rPr>
      </w:pPr>
    </w:p>
    <w:p>
      <w:pPr>
        <w:pageBreakBefore w:val="0"/>
        <w:kinsoku/>
        <w:wordWrap/>
        <w:overflowPunct/>
        <w:topLinePunct w:val="0"/>
        <w:bidi w:val="0"/>
        <w:spacing w:line="560" w:lineRule="exact"/>
        <w:ind w:firstLine="640" w:firstLineChars="200"/>
        <w:textAlignment w:val="auto"/>
        <w:outlineLvl w:val="0"/>
        <w:rPr>
          <w:rFonts w:eastAsia="黑体" w:cs="黑体"/>
          <w:b w:val="0"/>
          <w:bCs w:val="0"/>
          <w:sz w:val="32"/>
          <w:szCs w:val="36"/>
          <w:u w:val="none"/>
        </w:rPr>
      </w:pPr>
      <w:r>
        <w:rPr>
          <w:rFonts w:hint="eastAsia" w:eastAsia="黑体" w:cs="黑体"/>
          <w:b w:val="0"/>
          <w:bCs w:val="0"/>
          <w:sz w:val="32"/>
          <w:szCs w:val="36"/>
          <w:u w:val="none"/>
        </w:rPr>
        <w:t>二、收入预算情况说明</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eastAsia" w:ascii="仿宋" w:hAnsi="仿宋" w:eastAsia="仿宋" w:cs="仿宋"/>
          <w:w w:val="95"/>
          <w:kern w:val="2"/>
          <w:sz w:val="32"/>
          <w:szCs w:val="32"/>
          <w:u w:val="none"/>
          <w:lang w:val="en-US" w:eastAsia="zh-CN" w:bidi="ar-SA"/>
        </w:rPr>
        <w:t>包头市口岸服务中心2024</w:t>
      </w:r>
      <w:r>
        <w:rPr>
          <w:rFonts w:hint="default" w:ascii="仿宋" w:hAnsi="仿宋" w:eastAsia="仿宋" w:cs="仿宋"/>
          <w:w w:val="95"/>
          <w:kern w:val="2"/>
          <w:sz w:val="32"/>
          <w:szCs w:val="32"/>
          <w:u w:val="none"/>
          <w:lang w:val="en-US" w:eastAsia="zh-CN" w:bidi="ar-SA"/>
        </w:rPr>
        <w:t>年收入预算合计</w:t>
      </w:r>
      <w:r>
        <w:rPr>
          <w:rFonts w:hint="eastAsia" w:ascii="仿宋" w:hAnsi="仿宋" w:eastAsia="仿宋" w:cs="仿宋"/>
          <w:w w:val="95"/>
          <w:kern w:val="2"/>
          <w:sz w:val="32"/>
          <w:szCs w:val="32"/>
          <w:u w:val="none"/>
          <w:lang w:val="en-US" w:eastAsia="zh-CN" w:bidi="ar-SA"/>
        </w:rPr>
        <w:t>465.5</w:t>
      </w:r>
      <w:r>
        <w:rPr>
          <w:rFonts w:hint="default" w:ascii="仿宋" w:hAnsi="仿宋" w:eastAsia="仿宋" w:cs="仿宋"/>
          <w:w w:val="95"/>
          <w:kern w:val="2"/>
          <w:sz w:val="32"/>
          <w:szCs w:val="32"/>
          <w:u w:val="none"/>
          <w:lang w:val="en-US" w:eastAsia="zh-CN" w:bidi="ar-SA"/>
        </w:rPr>
        <w:t>万元，包括本年收入</w:t>
      </w:r>
      <w:r>
        <w:rPr>
          <w:rFonts w:hint="eastAsia" w:ascii="仿宋" w:hAnsi="仿宋" w:eastAsia="仿宋" w:cs="仿宋"/>
          <w:w w:val="95"/>
          <w:kern w:val="2"/>
          <w:sz w:val="32"/>
          <w:szCs w:val="32"/>
          <w:u w:val="none"/>
          <w:lang w:val="en-US" w:eastAsia="zh-CN" w:bidi="ar-SA"/>
        </w:rPr>
        <w:t>300.14</w:t>
      </w:r>
      <w:r>
        <w:rPr>
          <w:rFonts w:hint="default" w:ascii="仿宋" w:hAnsi="仿宋" w:eastAsia="仿宋" w:cs="仿宋"/>
          <w:w w:val="95"/>
          <w:kern w:val="2"/>
          <w:sz w:val="32"/>
          <w:szCs w:val="32"/>
          <w:u w:val="none"/>
          <w:lang w:val="en-US" w:eastAsia="zh-CN" w:bidi="ar-SA"/>
        </w:rPr>
        <w:t>万元，上年结转结余</w:t>
      </w:r>
      <w:r>
        <w:rPr>
          <w:rFonts w:hint="eastAsia" w:ascii="仿宋" w:hAnsi="仿宋" w:eastAsia="仿宋" w:cs="仿宋"/>
          <w:w w:val="95"/>
          <w:kern w:val="2"/>
          <w:sz w:val="32"/>
          <w:szCs w:val="32"/>
          <w:u w:val="none"/>
          <w:lang w:val="en-US" w:eastAsia="zh-CN" w:bidi="ar-SA"/>
        </w:rPr>
        <w:t>165.36</w:t>
      </w:r>
      <w:r>
        <w:rPr>
          <w:rFonts w:hint="default" w:ascii="仿宋" w:hAnsi="仿宋" w:eastAsia="仿宋" w:cs="仿宋"/>
          <w:w w:val="95"/>
          <w:kern w:val="2"/>
          <w:sz w:val="32"/>
          <w:szCs w:val="32"/>
          <w:u w:val="none"/>
          <w:lang w:val="en-US" w:eastAsia="zh-CN" w:bidi="ar-SA"/>
        </w:rPr>
        <w:t>万元。其中：</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本年一般公共预算收入</w:t>
      </w:r>
      <w:r>
        <w:rPr>
          <w:rFonts w:hint="eastAsia" w:ascii="仿宋" w:hAnsi="仿宋" w:eastAsia="仿宋" w:cs="仿宋"/>
          <w:w w:val="95"/>
          <w:kern w:val="2"/>
          <w:sz w:val="32"/>
          <w:szCs w:val="32"/>
          <w:u w:val="none"/>
          <w:lang w:val="en-US" w:eastAsia="zh-CN" w:bidi="ar-SA"/>
        </w:rPr>
        <w:t>300.14</w:t>
      </w:r>
      <w:r>
        <w:rPr>
          <w:rFonts w:hint="default" w:ascii="仿宋" w:hAnsi="仿宋" w:eastAsia="仿宋" w:cs="仿宋"/>
          <w:w w:val="95"/>
          <w:kern w:val="2"/>
          <w:sz w:val="32"/>
          <w:szCs w:val="32"/>
          <w:u w:val="none"/>
          <w:lang w:val="en-US" w:eastAsia="zh-CN" w:bidi="ar-SA"/>
        </w:rPr>
        <w:t>万元，占</w:t>
      </w:r>
      <w:r>
        <w:rPr>
          <w:rFonts w:hint="eastAsia" w:ascii="仿宋" w:hAnsi="仿宋" w:eastAsia="仿宋" w:cs="仿宋"/>
          <w:w w:val="95"/>
          <w:kern w:val="2"/>
          <w:sz w:val="32"/>
          <w:szCs w:val="32"/>
          <w:u w:val="none"/>
          <w:lang w:val="en-US" w:eastAsia="zh-CN" w:bidi="ar-SA"/>
        </w:rPr>
        <w:t>64.48</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本年政府性基金预算收入</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本年国有资本经营预算收入</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 xml:space="preserve">本年财政专户管理资金 </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本年事业收入</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本年事业单位经营收入</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本年上级补助收入</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 xml:space="preserve"> %；</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本年附属单位上缴收入</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本年其他收入</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 xml:space="preserve">上年结转结余的一般公共预算收入 </w:t>
      </w:r>
      <w:r>
        <w:rPr>
          <w:rFonts w:hint="eastAsia" w:ascii="仿宋" w:hAnsi="仿宋" w:eastAsia="仿宋" w:cs="仿宋"/>
          <w:w w:val="95"/>
          <w:kern w:val="2"/>
          <w:sz w:val="32"/>
          <w:szCs w:val="32"/>
          <w:u w:val="none"/>
          <w:lang w:val="en-US" w:eastAsia="zh-CN" w:bidi="ar-SA"/>
        </w:rPr>
        <w:t>165.36</w:t>
      </w:r>
      <w:r>
        <w:rPr>
          <w:rFonts w:hint="default" w:ascii="仿宋" w:hAnsi="仿宋" w:eastAsia="仿宋" w:cs="仿宋"/>
          <w:w w:val="95"/>
          <w:kern w:val="2"/>
          <w:sz w:val="32"/>
          <w:szCs w:val="32"/>
          <w:u w:val="none"/>
          <w:lang w:val="en-US" w:eastAsia="zh-CN" w:bidi="ar-SA"/>
        </w:rPr>
        <w:t xml:space="preserve">万元，占 </w:t>
      </w:r>
      <w:r>
        <w:rPr>
          <w:rFonts w:hint="eastAsia" w:ascii="仿宋" w:hAnsi="仿宋" w:eastAsia="仿宋" w:cs="仿宋"/>
          <w:w w:val="95"/>
          <w:kern w:val="2"/>
          <w:sz w:val="32"/>
          <w:szCs w:val="32"/>
          <w:u w:val="none"/>
          <w:lang w:val="en-US" w:eastAsia="zh-CN" w:bidi="ar-SA"/>
        </w:rPr>
        <w:t>35.52</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上年结转结余的政府性基金预算收入</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上年结转结余的国有资本经营预算收入</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上年结转结余的财政专户管理资金</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eastAsia" w:eastAsia="黑体" w:cs="黑体"/>
          <w:b w:val="0"/>
          <w:bCs w:val="0"/>
          <w:sz w:val="32"/>
          <w:szCs w:val="36"/>
          <w:u w:val="none"/>
        </w:rPr>
      </w:pPr>
      <w:r>
        <w:rPr>
          <w:rFonts w:hint="default" w:ascii="仿宋" w:hAnsi="仿宋" w:eastAsia="仿宋" w:cs="仿宋"/>
          <w:w w:val="95"/>
          <w:kern w:val="2"/>
          <w:sz w:val="32"/>
          <w:szCs w:val="32"/>
          <w:u w:val="none"/>
          <w:lang w:val="en-US" w:eastAsia="zh-CN" w:bidi="ar-SA"/>
        </w:rPr>
        <w:t>上年结转结余的单位资金</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w:t>
      </w:r>
    </w:p>
    <w:p>
      <w:pPr>
        <w:pageBreakBefore w:val="0"/>
        <w:kinsoku/>
        <w:wordWrap/>
        <w:overflowPunct/>
        <w:topLinePunct w:val="0"/>
        <w:bidi w:val="0"/>
        <w:spacing w:line="560" w:lineRule="exact"/>
        <w:ind w:firstLine="640" w:firstLineChars="200"/>
        <w:textAlignment w:val="auto"/>
        <w:outlineLvl w:val="0"/>
        <w:rPr>
          <w:rFonts w:eastAsia="黑体" w:cs="黑体"/>
          <w:b w:val="0"/>
          <w:bCs w:val="0"/>
          <w:sz w:val="32"/>
          <w:szCs w:val="36"/>
          <w:u w:val="none"/>
        </w:rPr>
      </w:pPr>
      <w:r>
        <w:rPr>
          <w:rFonts w:hint="eastAsia" w:eastAsia="黑体" w:cs="黑体"/>
          <w:b w:val="0"/>
          <w:bCs w:val="0"/>
          <w:sz w:val="32"/>
          <w:szCs w:val="36"/>
          <w:u w:val="none"/>
        </w:rPr>
        <w:t>三、支出预算情况说明</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eastAsia" w:ascii="仿宋" w:hAnsi="仿宋" w:eastAsia="仿宋" w:cs="仿宋"/>
          <w:w w:val="95"/>
          <w:kern w:val="2"/>
          <w:sz w:val="32"/>
          <w:szCs w:val="32"/>
          <w:u w:val="none"/>
          <w:lang w:val="en-US" w:eastAsia="zh-CN" w:bidi="ar-SA"/>
        </w:rPr>
        <w:t>包头市口岸服务中心2024</w:t>
      </w:r>
      <w:r>
        <w:rPr>
          <w:rFonts w:hint="default" w:ascii="仿宋" w:hAnsi="仿宋" w:eastAsia="仿宋" w:cs="仿宋"/>
          <w:w w:val="95"/>
          <w:kern w:val="2"/>
          <w:sz w:val="32"/>
          <w:szCs w:val="32"/>
          <w:u w:val="none"/>
          <w:lang w:val="en-US" w:eastAsia="zh-CN" w:bidi="ar-SA"/>
        </w:rPr>
        <w:t xml:space="preserve">年支出预算合计 </w:t>
      </w:r>
      <w:r>
        <w:rPr>
          <w:rFonts w:hint="eastAsia" w:ascii="仿宋" w:hAnsi="仿宋" w:eastAsia="仿宋" w:cs="仿宋"/>
          <w:w w:val="95"/>
          <w:kern w:val="2"/>
          <w:sz w:val="32"/>
          <w:szCs w:val="32"/>
          <w:u w:val="none"/>
          <w:lang w:val="en-US" w:eastAsia="zh-CN" w:bidi="ar-SA"/>
        </w:rPr>
        <w:t>465.5</w:t>
      </w:r>
      <w:r>
        <w:rPr>
          <w:rFonts w:hint="default" w:ascii="仿宋" w:hAnsi="仿宋" w:eastAsia="仿宋" w:cs="仿宋"/>
          <w:w w:val="95"/>
          <w:kern w:val="2"/>
          <w:sz w:val="32"/>
          <w:szCs w:val="32"/>
          <w:u w:val="none"/>
          <w:lang w:val="en-US" w:eastAsia="zh-CN" w:bidi="ar-SA"/>
        </w:rPr>
        <w:t>万元，其中：</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 xml:space="preserve">基本支出 </w:t>
      </w:r>
      <w:r>
        <w:rPr>
          <w:rFonts w:hint="eastAsia" w:ascii="仿宋" w:hAnsi="仿宋" w:eastAsia="仿宋" w:cs="仿宋"/>
          <w:w w:val="95"/>
          <w:kern w:val="2"/>
          <w:sz w:val="32"/>
          <w:szCs w:val="32"/>
          <w:u w:val="none"/>
          <w:lang w:val="en-US" w:eastAsia="zh-CN" w:bidi="ar-SA"/>
        </w:rPr>
        <w:t>165.21</w:t>
      </w:r>
      <w:r>
        <w:rPr>
          <w:rFonts w:hint="default" w:ascii="仿宋" w:hAnsi="仿宋" w:eastAsia="仿宋" w:cs="仿宋"/>
          <w:w w:val="95"/>
          <w:kern w:val="2"/>
          <w:sz w:val="32"/>
          <w:szCs w:val="32"/>
          <w:u w:val="none"/>
          <w:lang w:val="en-US" w:eastAsia="zh-CN" w:bidi="ar-SA"/>
        </w:rPr>
        <w:t>万元，占</w:t>
      </w:r>
      <w:r>
        <w:rPr>
          <w:rFonts w:hint="eastAsia" w:ascii="仿宋" w:hAnsi="仿宋" w:eastAsia="仿宋" w:cs="仿宋"/>
          <w:w w:val="95"/>
          <w:kern w:val="2"/>
          <w:sz w:val="32"/>
          <w:szCs w:val="32"/>
          <w:u w:val="none"/>
          <w:lang w:val="en-US" w:eastAsia="zh-CN" w:bidi="ar-SA"/>
        </w:rPr>
        <w:t>35.5</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 xml:space="preserve">项目支出 </w:t>
      </w:r>
      <w:r>
        <w:rPr>
          <w:rFonts w:hint="eastAsia" w:ascii="仿宋" w:hAnsi="仿宋" w:eastAsia="仿宋" w:cs="仿宋"/>
          <w:w w:val="95"/>
          <w:kern w:val="2"/>
          <w:sz w:val="32"/>
          <w:szCs w:val="32"/>
          <w:u w:val="none"/>
          <w:lang w:val="en-US" w:eastAsia="zh-CN" w:bidi="ar-SA"/>
        </w:rPr>
        <w:t>300.28</w:t>
      </w:r>
      <w:r>
        <w:rPr>
          <w:rFonts w:hint="default" w:ascii="仿宋" w:hAnsi="仿宋" w:eastAsia="仿宋" w:cs="仿宋"/>
          <w:w w:val="95"/>
          <w:kern w:val="2"/>
          <w:sz w:val="32"/>
          <w:szCs w:val="32"/>
          <w:u w:val="none"/>
          <w:lang w:val="en-US" w:eastAsia="zh-CN" w:bidi="ar-SA"/>
        </w:rPr>
        <w:t>万元，占</w:t>
      </w:r>
      <w:r>
        <w:rPr>
          <w:rFonts w:hint="eastAsia" w:ascii="仿宋" w:hAnsi="仿宋" w:eastAsia="仿宋" w:cs="仿宋"/>
          <w:w w:val="95"/>
          <w:kern w:val="2"/>
          <w:sz w:val="32"/>
          <w:szCs w:val="32"/>
          <w:u w:val="none"/>
          <w:lang w:val="en-US" w:eastAsia="zh-CN" w:bidi="ar-SA"/>
        </w:rPr>
        <w:t>64.5</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事业单位经营支出</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上缴上级支出</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对附属单位补助支出</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w:t>
      </w:r>
      <w:r>
        <w:rPr>
          <w:rFonts w:hint="eastAsia" w:ascii="仿宋" w:hAnsi="仿宋" w:eastAsia="仿宋" w:cs="仿宋"/>
          <w:w w:val="95"/>
          <w:kern w:val="2"/>
          <w:sz w:val="32"/>
          <w:szCs w:val="32"/>
          <w:u w:val="none"/>
          <w:lang w:val="en-US" w:eastAsia="zh-CN" w:bidi="ar-SA"/>
        </w:rPr>
        <w:t>，</w:t>
      </w:r>
      <w:r>
        <w:rPr>
          <w:rFonts w:hint="default" w:ascii="仿宋" w:hAnsi="仿宋" w:eastAsia="仿宋" w:cs="仿宋"/>
          <w:w w:val="95"/>
          <w:kern w:val="2"/>
          <w:sz w:val="32"/>
          <w:szCs w:val="32"/>
          <w:u w:val="none"/>
          <w:lang w:val="en-US" w:eastAsia="zh-CN" w:bidi="ar-SA"/>
        </w:rPr>
        <w:t>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w:t>
      </w:r>
    </w:p>
    <w:p>
      <w:pPr>
        <w:pageBreakBefore w:val="0"/>
        <w:kinsoku/>
        <w:wordWrap/>
        <w:overflowPunct/>
        <w:topLinePunct w:val="0"/>
        <w:bidi w:val="0"/>
        <w:spacing w:line="560" w:lineRule="exact"/>
        <w:ind w:firstLine="640" w:firstLineChars="200"/>
        <w:textAlignment w:val="auto"/>
        <w:outlineLvl w:val="0"/>
        <w:rPr>
          <w:rFonts w:hint="eastAsia" w:eastAsia="黑体" w:cs="黑体"/>
          <w:b w:val="0"/>
          <w:bCs w:val="0"/>
          <w:sz w:val="32"/>
          <w:szCs w:val="36"/>
          <w:u w:val="none"/>
        </w:rPr>
      </w:pPr>
    </w:p>
    <w:p>
      <w:pPr>
        <w:pageBreakBefore w:val="0"/>
        <w:kinsoku/>
        <w:wordWrap/>
        <w:overflowPunct/>
        <w:topLinePunct w:val="0"/>
        <w:bidi w:val="0"/>
        <w:spacing w:line="560" w:lineRule="exact"/>
        <w:ind w:firstLine="640" w:firstLineChars="200"/>
        <w:textAlignment w:val="auto"/>
        <w:outlineLvl w:val="0"/>
        <w:rPr>
          <w:rFonts w:eastAsia="黑体" w:cs="黑体"/>
          <w:b w:val="0"/>
          <w:bCs w:val="0"/>
          <w:sz w:val="32"/>
          <w:szCs w:val="36"/>
          <w:u w:val="none"/>
        </w:rPr>
      </w:pPr>
      <w:r>
        <w:rPr>
          <w:rFonts w:hint="eastAsia" w:eastAsia="黑体" w:cs="黑体"/>
          <w:b w:val="0"/>
          <w:bCs w:val="0"/>
          <w:sz w:val="32"/>
          <w:szCs w:val="36"/>
          <w:u w:val="none"/>
        </w:rPr>
        <w:t>四、财政拨款收支预算总体情况说明</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eastAsia" w:ascii="仿宋" w:hAnsi="仿宋" w:eastAsia="仿宋" w:cs="仿宋"/>
          <w:w w:val="95"/>
          <w:kern w:val="2"/>
          <w:sz w:val="32"/>
          <w:szCs w:val="32"/>
          <w:u w:val="none"/>
          <w:lang w:val="en-US" w:eastAsia="zh-CN" w:bidi="ar-SA"/>
        </w:rPr>
        <w:t>包头市口岸服务中心2024年度</w:t>
      </w:r>
      <w:r>
        <w:rPr>
          <w:rFonts w:hint="default" w:ascii="仿宋" w:hAnsi="仿宋" w:eastAsia="仿宋" w:cs="仿宋"/>
          <w:w w:val="95"/>
          <w:kern w:val="2"/>
          <w:sz w:val="32"/>
          <w:szCs w:val="32"/>
          <w:u w:val="none"/>
          <w:lang w:val="en-US" w:eastAsia="zh-CN" w:bidi="ar-SA"/>
        </w:rPr>
        <w:t>财政拨款收、支总预算</w:t>
      </w:r>
      <w:r>
        <w:rPr>
          <w:rFonts w:hint="eastAsia" w:ascii="仿宋" w:hAnsi="仿宋" w:eastAsia="仿宋" w:cs="仿宋"/>
          <w:w w:val="95"/>
          <w:kern w:val="2"/>
          <w:sz w:val="32"/>
          <w:szCs w:val="32"/>
          <w:u w:val="none"/>
          <w:lang w:val="en-US" w:eastAsia="zh-CN" w:bidi="ar-SA"/>
        </w:rPr>
        <w:t>465.5</w:t>
      </w:r>
      <w:r>
        <w:rPr>
          <w:rFonts w:hint="default" w:ascii="仿宋" w:hAnsi="仿宋" w:eastAsia="仿宋" w:cs="仿宋"/>
          <w:w w:val="95"/>
          <w:kern w:val="2"/>
          <w:sz w:val="32"/>
          <w:szCs w:val="32"/>
          <w:u w:val="none"/>
          <w:lang w:val="en-US" w:eastAsia="zh-CN" w:bidi="ar-SA"/>
        </w:rPr>
        <w:t>万元。与上年相比，财政拨款收、支总计各增加</w:t>
      </w:r>
      <w:r>
        <w:rPr>
          <w:rFonts w:hint="eastAsia" w:ascii="仿宋" w:hAnsi="仿宋" w:eastAsia="仿宋" w:cs="仿宋"/>
          <w:w w:val="95"/>
          <w:kern w:val="2"/>
          <w:sz w:val="32"/>
          <w:szCs w:val="32"/>
          <w:u w:val="none"/>
          <w:lang w:val="en-US" w:eastAsia="zh-CN" w:bidi="ar-SA"/>
        </w:rPr>
        <w:t>148.77</w:t>
      </w:r>
      <w:r>
        <w:rPr>
          <w:rFonts w:hint="default" w:ascii="仿宋" w:hAnsi="仿宋" w:eastAsia="仿宋" w:cs="仿宋"/>
          <w:w w:val="95"/>
          <w:kern w:val="2"/>
          <w:sz w:val="32"/>
          <w:szCs w:val="32"/>
          <w:u w:val="none"/>
          <w:lang w:val="en-US" w:eastAsia="zh-CN" w:bidi="ar-SA"/>
        </w:rPr>
        <w:t>万元，增长</w:t>
      </w:r>
      <w:r>
        <w:rPr>
          <w:rFonts w:hint="eastAsia" w:ascii="仿宋" w:hAnsi="仿宋" w:eastAsia="仿宋" w:cs="仿宋"/>
          <w:w w:val="95"/>
          <w:kern w:val="2"/>
          <w:sz w:val="32"/>
          <w:szCs w:val="32"/>
          <w:u w:val="none"/>
          <w:lang w:val="en-US" w:eastAsia="zh-CN" w:bidi="ar-SA"/>
        </w:rPr>
        <w:t>46.97</w:t>
      </w:r>
      <w:r>
        <w:rPr>
          <w:rFonts w:hint="default" w:ascii="仿宋" w:hAnsi="仿宋" w:eastAsia="仿宋" w:cs="仿宋"/>
          <w:w w:val="95"/>
          <w:kern w:val="2"/>
          <w:sz w:val="32"/>
          <w:szCs w:val="32"/>
          <w:u w:val="none"/>
          <w:lang w:val="en-US" w:eastAsia="zh-CN" w:bidi="ar-SA"/>
        </w:rPr>
        <w:t xml:space="preserve"> %。主要原因是</w:t>
      </w:r>
      <w:r>
        <w:rPr>
          <w:rFonts w:hint="eastAsia" w:ascii="仿宋" w:hAnsi="仿宋" w:eastAsia="仿宋" w:cs="仿宋"/>
          <w:w w:val="95"/>
          <w:kern w:val="2"/>
          <w:sz w:val="32"/>
          <w:szCs w:val="32"/>
          <w:u w:val="none"/>
          <w:lang w:val="en-US" w:eastAsia="zh-CN" w:bidi="ar-SA"/>
        </w:rPr>
        <w:t>一是有人员变动，人员经费增加；二是因2023年</w:t>
      </w:r>
      <w:r>
        <w:rPr>
          <w:rFonts w:hint="default" w:ascii="仿宋" w:hAnsi="仿宋" w:eastAsia="仿宋" w:cs="仿宋"/>
          <w:w w:val="95"/>
          <w:kern w:val="2"/>
          <w:sz w:val="32"/>
          <w:szCs w:val="32"/>
          <w:u w:val="none"/>
          <w:lang w:val="en-US" w:eastAsia="zh-CN" w:bidi="ar-SA"/>
        </w:rPr>
        <w:t>满都拉-杭吉跨境铁路项目工作经费</w:t>
      </w:r>
      <w:r>
        <w:rPr>
          <w:rFonts w:hint="eastAsia" w:ascii="仿宋" w:hAnsi="仿宋" w:eastAsia="仿宋" w:cs="仿宋"/>
          <w:w w:val="95"/>
          <w:kern w:val="2"/>
          <w:sz w:val="32"/>
          <w:szCs w:val="32"/>
          <w:u w:val="none"/>
          <w:lang w:val="en-US" w:eastAsia="zh-CN" w:bidi="ar-SA"/>
        </w:rPr>
        <w:t>、包头市口岸规划编制经费等项目经费存在未支付相关业务活动费用，结转至2024年进行支付，增加上年结转项目经费</w:t>
      </w:r>
      <w:r>
        <w:rPr>
          <w:rFonts w:hint="default" w:ascii="仿宋" w:hAnsi="仿宋" w:eastAsia="仿宋" w:cs="仿宋"/>
          <w:w w:val="95"/>
          <w:kern w:val="2"/>
          <w:sz w:val="32"/>
          <w:szCs w:val="32"/>
          <w:u w:val="none"/>
          <w:lang w:val="en-US" w:eastAsia="zh-CN" w:bidi="ar-SA"/>
        </w:rPr>
        <w:t>。</w:t>
      </w:r>
    </w:p>
    <w:p>
      <w:pPr>
        <w:pageBreakBefore w:val="0"/>
        <w:kinsoku/>
        <w:wordWrap/>
        <w:overflowPunct/>
        <w:topLinePunct w:val="0"/>
        <w:bidi w:val="0"/>
        <w:spacing w:line="560" w:lineRule="exact"/>
        <w:ind w:firstLine="640" w:firstLineChars="200"/>
        <w:textAlignment w:val="auto"/>
        <w:outlineLvl w:val="0"/>
        <w:rPr>
          <w:rFonts w:eastAsia="黑体" w:cs="黑体"/>
          <w:b w:val="0"/>
          <w:bCs w:val="0"/>
          <w:sz w:val="32"/>
          <w:szCs w:val="36"/>
          <w:u w:val="none"/>
        </w:rPr>
      </w:pPr>
      <w:r>
        <w:rPr>
          <w:rFonts w:hint="eastAsia" w:eastAsia="黑体" w:cs="黑体"/>
          <w:b w:val="0"/>
          <w:bCs w:val="0"/>
          <w:sz w:val="32"/>
          <w:szCs w:val="36"/>
          <w:u w:val="none"/>
        </w:rPr>
        <w:t>五、一般公共预算支出预算情况说明</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eastAsia" w:ascii="仿宋" w:hAnsi="仿宋" w:eastAsia="仿宋" w:cs="仿宋"/>
          <w:w w:val="95"/>
          <w:kern w:val="2"/>
          <w:sz w:val="32"/>
          <w:szCs w:val="32"/>
          <w:u w:val="none"/>
          <w:lang w:val="en-US" w:eastAsia="zh-CN" w:bidi="ar-SA"/>
        </w:rPr>
        <w:t>包头市口岸服务中心2024</w:t>
      </w:r>
      <w:r>
        <w:rPr>
          <w:rFonts w:hint="default" w:ascii="仿宋" w:hAnsi="仿宋" w:eastAsia="仿宋" w:cs="仿宋"/>
          <w:w w:val="95"/>
          <w:kern w:val="2"/>
          <w:sz w:val="32"/>
          <w:szCs w:val="32"/>
          <w:u w:val="none"/>
          <w:lang w:val="en-US" w:eastAsia="zh-CN" w:bidi="ar-SA"/>
        </w:rPr>
        <w:t xml:space="preserve">年一般公共预算财政拨款支出预算     </w:t>
      </w:r>
      <w:r>
        <w:rPr>
          <w:rFonts w:hint="eastAsia" w:ascii="仿宋" w:hAnsi="仿宋" w:eastAsia="仿宋" w:cs="仿宋"/>
          <w:w w:val="95"/>
          <w:kern w:val="2"/>
          <w:sz w:val="32"/>
          <w:szCs w:val="32"/>
          <w:u w:val="none"/>
          <w:lang w:val="en-US" w:eastAsia="zh-CN" w:bidi="ar-SA"/>
        </w:rPr>
        <w:t>465.5</w:t>
      </w:r>
      <w:r>
        <w:rPr>
          <w:rFonts w:hint="default" w:ascii="仿宋" w:hAnsi="仿宋" w:eastAsia="仿宋" w:cs="仿宋"/>
          <w:w w:val="95"/>
          <w:kern w:val="2"/>
          <w:sz w:val="32"/>
          <w:szCs w:val="32"/>
          <w:u w:val="none"/>
          <w:lang w:val="en-US" w:eastAsia="zh-CN" w:bidi="ar-SA"/>
        </w:rPr>
        <w:t>万元，与上年相比增加</w:t>
      </w:r>
      <w:r>
        <w:rPr>
          <w:rFonts w:hint="eastAsia" w:ascii="仿宋" w:hAnsi="仿宋" w:eastAsia="仿宋" w:cs="仿宋"/>
          <w:w w:val="95"/>
          <w:kern w:val="2"/>
          <w:sz w:val="32"/>
          <w:szCs w:val="32"/>
          <w:u w:val="none"/>
          <w:lang w:val="en-US" w:eastAsia="zh-CN" w:bidi="ar-SA"/>
        </w:rPr>
        <w:t>148.77</w:t>
      </w:r>
      <w:r>
        <w:rPr>
          <w:rFonts w:hint="default" w:ascii="仿宋" w:hAnsi="仿宋" w:eastAsia="仿宋" w:cs="仿宋"/>
          <w:w w:val="95"/>
          <w:kern w:val="2"/>
          <w:sz w:val="32"/>
          <w:szCs w:val="32"/>
          <w:u w:val="none"/>
          <w:lang w:val="en-US" w:eastAsia="zh-CN" w:bidi="ar-SA"/>
        </w:rPr>
        <w:t>万元，增长</w:t>
      </w:r>
      <w:r>
        <w:rPr>
          <w:rFonts w:hint="eastAsia" w:ascii="仿宋" w:hAnsi="仿宋" w:eastAsia="仿宋" w:cs="仿宋"/>
          <w:w w:val="95"/>
          <w:kern w:val="2"/>
          <w:sz w:val="32"/>
          <w:szCs w:val="32"/>
          <w:u w:val="none"/>
          <w:lang w:val="en-US" w:eastAsia="zh-CN" w:bidi="ar-SA"/>
        </w:rPr>
        <w:t>46.97</w:t>
      </w:r>
      <w:r>
        <w:rPr>
          <w:rFonts w:hint="default" w:ascii="仿宋" w:hAnsi="仿宋" w:eastAsia="仿宋" w:cs="仿宋"/>
          <w:w w:val="95"/>
          <w:kern w:val="2"/>
          <w:sz w:val="32"/>
          <w:szCs w:val="32"/>
          <w:u w:val="none"/>
          <w:lang w:val="en-US" w:eastAsia="zh-CN" w:bidi="ar-SA"/>
        </w:rPr>
        <w:t>%。主要原因是</w:t>
      </w:r>
      <w:r>
        <w:rPr>
          <w:rFonts w:hint="eastAsia" w:ascii="仿宋" w:hAnsi="仿宋" w:eastAsia="仿宋" w:cs="仿宋"/>
          <w:w w:val="95"/>
          <w:kern w:val="2"/>
          <w:sz w:val="32"/>
          <w:szCs w:val="32"/>
          <w:u w:val="none"/>
          <w:lang w:val="en-US" w:eastAsia="zh-CN" w:bidi="ar-SA"/>
        </w:rPr>
        <w:t>一是有人员变动，人员经费增加；二是因2023年</w:t>
      </w:r>
      <w:r>
        <w:rPr>
          <w:rFonts w:hint="default" w:ascii="仿宋" w:hAnsi="仿宋" w:eastAsia="仿宋" w:cs="仿宋"/>
          <w:w w:val="95"/>
          <w:kern w:val="2"/>
          <w:sz w:val="32"/>
          <w:szCs w:val="32"/>
          <w:u w:val="none"/>
          <w:lang w:val="en-US" w:eastAsia="zh-CN" w:bidi="ar-SA"/>
        </w:rPr>
        <w:t>满都拉-杭吉跨境铁路项目工作经费</w:t>
      </w:r>
      <w:r>
        <w:rPr>
          <w:rFonts w:hint="eastAsia" w:ascii="仿宋" w:hAnsi="仿宋" w:eastAsia="仿宋" w:cs="仿宋"/>
          <w:w w:val="95"/>
          <w:kern w:val="2"/>
          <w:sz w:val="32"/>
          <w:szCs w:val="32"/>
          <w:u w:val="none"/>
          <w:lang w:val="en-US" w:eastAsia="zh-CN" w:bidi="ar-SA"/>
        </w:rPr>
        <w:t>、包头市口岸规划编制经费等项目经费存在未支付相关业务活动费用，结转至2024年进行支付，增加上年结转项目经费</w:t>
      </w:r>
      <w:r>
        <w:rPr>
          <w:rFonts w:hint="default" w:ascii="仿宋" w:hAnsi="仿宋" w:eastAsia="仿宋" w:cs="仿宋"/>
          <w:w w:val="95"/>
          <w:kern w:val="2"/>
          <w:sz w:val="32"/>
          <w:szCs w:val="32"/>
          <w:u w:val="none"/>
          <w:lang w:val="en-US" w:eastAsia="zh-CN" w:bidi="ar-SA"/>
        </w:rPr>
        <w:t>。</w:t>
      </w:r>
    </w:p>
    <w:p>
      <w:pPr>
        <w:pStyle w:val="2"/>
        <w:pageBreakBefore w:val="0"/>
        <w:tabs>
          <w:tab w:val="left" w:pos="4275"/>
        </w:tabs>
        <w:kinsoku/>
        <w:wordWrap/>
        <w:overflowPunct/>
        <w:topLinePunct w:val="0"/>
        <w:bidi w:val="0"/>
        <w:spacing w:after="0" w:line="560" w:lineRule="exact"/>
        <w:ind w:firstLine="643" w:firstLineChars="200"/>
        <w:textAlignment w:val="auto"/>
        <w:rPr>
          <w:rFonts w:hint="eastAsia" w:ascii="楷体" w:hAnsi="楷体" w:eastAsia="楷体" w:cs="楷体"/>
          <w:b/>
          <w:bCs/>
          <w:sz w:val="32"/>
          <w:szCs w:val="32"/>
          <w:u w:val="none"/>
        </w:rPr>
      </w:pPr>
      <w:r>
        <w:rPr>
          <w:rFonts w:hint="eastAsia" w:ascii="楷体" w:hAnsi="楷体" w:eastAsia="楷体" w:cs="楷体"/>
          <w:b/>
          <w:bCs/>
          <w:sz w:val="32"/>
          <w:szCs w:val="32"/>
          <w:u w:val="none"/>
        </w:rPr>
        <w:t>（一）一般公共服务（类）</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1.商贸事务（款）</w:t>
      </w:r>
      <w:r>
        <w:rPr>
          <w:rFonts w:hint="eastAsia" w:ascii="仿宋" w:hAnsi="仿宋" w:eastAsia="仿宋" w:cs="仿宋"/>
          <w:w w:val="95"/>
          <w:kern w:val="2"/>
          <w:sz w:val="32"/>
          <w:szCs w:val="32"/>
          <w:u w:val="none"/>
          <w:lang w:val="en-US" w:eastAsia="zh-CN" w:bidi="ar-SA"/>
        </w:rPr>
        <w:t>事业</w:t>
      </w:r>
      <w:r>
        <w:rPr>
          <w:rFonts w:hint="default" w:ascii="仿宋" w:hAnsi="仿宋" w:eastAsia="仿宋" w:cs="仿宋"/>
          <w:w w:val="95"/>
          <w:kern w:val="2"/>
          <w:sz w:val="32"/>
          <w:szCs w:val="32"/>
          <w:u w:val="none"/>
          <w:lang w:val="en-US" w:eastAsia="zh-CN" w:bidi="ar-SA"/>
        </w:rPr>
        <w:t>运行（项）。年初预算</w:t>
      </w:r>
      <w:r>
        <w:rPr>
          <w:rFonts w:hint="eastAsia" w:ascii="仿宋" w:hAnsi="仿宋" w:eastAsia="仿宋" w:cs="仿宋"/>
          <w:w w:val="95"/>
          <w:kern w:val="2"/>
          <w:sz w:val="32"/>
          <w:szCs w:val="32"/>
          <w:u w:val="none"/>
          <w:lang w:val="en-US" w:eastAsia="zh-CN" w:bidi="ar-SA"/>
        </w:rPr>
        <w:t>131.23</w:t>
      </w:r>
      <w:r>
        <w:rPr>
          <w:rFonts w:hint="default" w:ascii="仿宋" w:hAnsi="仿宋" w:eastAsia="仿宋" w:cs="仿宋"/>
          <w:w w:val="95"/>
          <w:kern w:val="2"/>
          <w:sz w:val="32"/>
          <w:szCs w:val="32"/>
          <w:u w:val="none"/>
          <w:lang w:val="en-US" w:eastAsia="zh-CN" w:bidi="ar-SA"/>
        </w:rPr>
        <w:t>万元，与上年相比增加</w:t>
      </w:r>
      <w:r>
        <w:rPr>
          <w:rFonts w:hint="eastAsia" w:ascii="仿宋" w:hAnsi="仿宋" w:eastAsia="仿宋" w:cs="仿宋"/>
          <w:w w:val="95"/>
          <w:kern w:val="2"/>
          <w:sz w:val="32"/>
          <w:szCs w:val="32"/>
          <w:u w:val="none"/>
          <w:lang w:val="en-US" w:eastAsia="zh-CN" w:bidi="ar-SA"/>
        </w:rPr>
        <w:t>18.06</w:t>
      </w:r>
      <w:r>
        <w:rPr>
          <w:rFonts w:hint="default" w:ascii="仿宋" w:hAnsi="仿宋" w:eastAsia="仿宋" w:cs="仿宋"/>
          <w:w w:val="95"/>
          <w:kern w:val="2"/>
          <w:sz w:val="32"/>
          <w:szCs w:val="32"/>
          <w:u w:val="none"/>
          <w:lang w:val="en-US" w:eastAsia="zh-CN" w:bidi="ar-SA"/>
        </w:rPr>
        <w:t>万元，增长</w:t>
      </w:r>
      <w:r>
        <w:rPr>
          <w:rFonts w:hint="eastAsia" w:ascii="仿宋" w:hAnsi="仿宋" w:eastAsia="仿宋" w:cs="仿宋"/>
          <w:w w:val="95"/>
          <w:kern w:val="2"/>
          <w:sz w:val="32"/>
          <w:szCs w:val="32"/>
          <w:u w:val="none"/>
          <w:lang w:val="en-US" w:eastAsia="zh-CN" w:bidi="ar-SA"/>
        </w:rPr>
        <w:t>15.95</w:t>
      </w:r>
      <w:r>
        <w:rPr>
          <w:rFonts w:hint="default" w:ascii="仿宋" w:hAnsi="仿宋" w:eastAsia="仿宋" w:cs="仿宋"/>
          <w:w w:val="95"/>
          <w:kern w:val="2"/>
          <w:sz w:val="32"/>
          <w:szCs w:val="32"/>
          <w:u w:val="none"/>
          <w:lang w:val="en-US" w:eastAsia="zh-CN" w:bidi="ar-SA"/>
        </w:rPr>
        <w:t>%。变动原因：</w:t>
      </w:r>
      <w:r>
        <w:rPr>
          <w:rFonts w:hint="eastAsia" w:ascii="仿宋" w:hAnsi="仿宋" w:eastAsia="仿宋" w:cs="仿宋"/>
          <w:w w:val="95"/>
          <w:kern w:val="2"/>
          <w:sz w:val="32"/>
          <w:szCs w:val="32"/>
          <w:u w:val="none"/>
          <w:lang w:val="en-US" w:eastAsia="zh-CN" w:bidi="ar-SA"/>
        </w:rPr>
        <w:t>职工工资的调整及职工社会保险的调标</w:t>
      </w:r>
      <w:r>
        <w:rPr>
          <w:rFonts w:hint="default" w:ascii="仿宋" w:hAnsi="仿宋" w:eastAsia="仿宋" w:cs="仿宋"/>
          <w:w w:val="95"/>
          <w:kern w:val="2"/>
          <w:sz w:val="32"/>
          <w:szCs w:val="32"/>
          <w:u w:val="none"/>
          <w:lang w:val="en-US" w:eastAsia="zh-CN" w:bidi="ar-SA"/>
        </w:rPr>
        <w:t>。</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2.商贸事务（款）其他商贸事务支出（项）。年初预算</w:t>
      </w:r>
      <w:r>
        <w:rPr>
          <w:rFonts w:hint="eastAsia" w:ascii="仿宋" w:hAnsi="仿宋" w:eastAsia="仿宋" w:cs="仿宋"/>
          <w:w w:val="95"/>
          <w:kern w:val="2"/>
          <w:sz w:val="32"/>
          <w:szCs w:val="32"/>
          <w:u w:val="none"/>
          <w:lang w:val="en-US" w:eastAsia="zh-CN" w:bidi="ar-SA"/>
        </w:rPr>
        <w:t>251.4</w:t>
      </w:r>
      <w:r>
        <w:rPr>
          <w:rFonts w:hint="default" w:ascii="仿宋" w:hAnsi="仿宋" w:eastAsia="仿宋" w:cs="仿宋"/>
          <w:w w:val="95"/>
          <w:kern w:val="2"/>
          <w:sz w:val="32"/>
          <w:szCs w:val="32"/>
          <w:u w:val="none"/>
          <w:lang w:val="en-US" w:eastAsia="zh-CN" w:bidi="ar-SA"/>
        </w:rPr>
        <w:t>万元，与上年相比</w:t>
      </w:r>
      <w:r>
        <w:rPr>
          <w:rFonts w:hint="eastAsia" w:ascii="仿宋" w:hAnsi="仿宋" w:eastAsia="仿宋" w:cs="仿宋"/>
          <w:w w:val="95"/>
          <w:kern w:val="2"/>
          <w:sz w:val="32"/>
          <w:szCs w:val="32"/>
          <w:u w:val="none"/>
          <w:lang w:val="en-US" w:eastAsia="zh-CN" w:bidi="ar-SA"/>
        </w:rPr>
        <w:t>增加92.78</w:t>
      </w:r>
      <w:r>
        <w:rPr>
          <w:rFonts w:hint="default" w:ascii="仿宋" w:hAnsi="仿宋" w:eastAsia="仿宋" w:cs="仿宋"/>
          <w:w w:val="95"/>
          <w:kern w:val="2"/>
          <w:sz w:val="32"/>
          <w:szCs w:val="32"/>
          <w:u w:val="none"/>
          <w:lang w:val="en-US" w:eastAsia="zh-CN" w:bidi="ar-SA"/>
        </w:rPr>
        <w:t>万元，</w:t>
      </w:r>
      <w:r>
        <w:rPr>
          <w:rFonts w:hint="eastAsia" w:ascii="仿宋" w:hAnsi="仿宋" w:eastAsia="仿宋" w:cs="仿宋"/>
          <w:w w:val="95"/>
          <w:kern w:val="2"/>
          <w:sz w:val="32"/>
          <w:szCs w:val="32"/>
          <w:u w:val="none"/>
          <w:lang w:val="en-US" w:eastAsia="zh-CN" w:bidi="ar-SA"/>
        </w:rPr>
        <w:t>增加58.49</w:t>
      </w:r>
      <w:r>
        <w:rPr>
          <w:rFonts w:hint="default" w:ascii="仿宋" w:hAnsi="仿宋" w:eastAsia="仿宋" w:cs="仿宋"/>
          <w:w w:val="95"/>
          <w:kern w:val="2"/>
          <w:sz w:val="32"/>
          <w:szCs w:val="32"/>
          <w:u w:val="none"/>
          <w:lang w:val="en-US" w:eastAsia="zh-CN" w:bidi="ar-SA"/>
        </w:rPr>
        <w:t>%。变动原因</w:t>
      </w:r>
      <w:r>
        <w:rPr>
          <w:rFonts w:hint="eastAsia" w:ascii="仿宋" w:hAnsi="仿宋" w:eastAsia="仿宋" w:cs="仿宋"/>
          <w:w w:val="95"/>
          <w:kern w:val="2"/>
          <w:sz w:val="32"/>
          <w:szCs w:val="32"/>
          <w:u w:val="none"/>
          <w:lang w:val="en-US" w:eastAsia="zh-CN" w:bidi="ar-SA"/>
        </w:rPr>
        <w:t>：2023年</w:t>
      </w:r>
      <w:r>
        <w:rPr>
          <w:rFonts w:hint="default" w:ascii="仿宋" w:hAnsi="仿宋" w:eastAsia="仿宋" w:cs="仿宋"/>
          <w:w w:val="95"/>
          <w:kern w:val="2"/>
          <w:sz w:val="32"/>
          <w:szCs w:val="32"/>
          <w:u w:val="none"/>
          <w:lang w:val="en-US" w:eastAsia="zh-CN" w:bidi="ar-SA"/>
        </w:rPr>
        <w:t>满都拉-杭吉跨境铁路项目工作经费</w:t>
      </w:r>
      <w:r>
        <w:rPr>
          <w:rFonts w:hint="eastAsia" w:ascii="仿宋" w:hAnsi="仿宋" w:eastAsia="仿宋" w:cs="仿宋"/>
          <w:w w:val="95"/>
          <w:kern w:val="2"/>
          <w:sz w:val="32"/>
          <w:szCs w:val="32"/>
          <w:u w:val="none"/>
          <w:lang w:val="en-US" w:eastAsia="zh-CN" w:bidi="ar-SA"/>
        </w:rPr>
        <w:t>、满都拉口岸通勤车费用等项目经费存在未支付相关业务活动费用，结转至2024年进行支付，增加上年结转项目经费</w:t>
      </w:r>
      <w:r>
        <w:rPr>
          <w:rFonts w:hint="default" w:ascii="仿宋" w:hAnsi="仿宋" w:eastAsia="仿宋" w:cs="仿宋"/>
          <w:w w:val="95"/>
          <w:kern w:val="2"/>
          <w:sz w:val="32"/>
          <w:szCs w:val="32"/>
          <w:u w:val="none"/>
          <w:lang w:val="en-US" w:eastAsia="zh-CN" w:bidi="ar-SA"/>
        </w:rPr>
        <w:t>。</w:t>
      </w:r>
    </w:p>
    <w:p>
      <w:pPr>
        <w:pStyle w:val="2"/>
        <w:pageBreakBefore w:val="0"/>
        <w:tabs>
          <w:tab w:val="left" w:pos="4275"/>
        </w:tabs>
        <w:kinsoku/>
        <w:wordWrap/>
        <w:overflowPunct/>
        <w:topLinePunct w:val="0"/>
        <w:bidi w:val="0"/>
        <w:spacing w:after="0" w:line="560" w:lineRule="exact"/>
        <w:ind w:firstLine="643" w:firstLineChars="200"/>
        <w:textAlignment w:val="auto"/>
        <w:rPr>
          <w:rFonts w:hint="eastAsia" w:ascii="楷体" w:hAnsi="楷体" w:eastAsia="楷体" w:cs="楷体"/>
          <w:b/>
          <w:bCs/>
          <w:sz w:val="32"/>
          <w:szCs w:val="32"/>
          <w:u w:val="none"/>
        </w:rPr>
      </w:pPr>
      <w:r>
        <w:rPr>
          <w:rFonts w:hint="eastAsia" w:ascii="楷体" w:hAnsi="楷体" w:eastAsia="楷体" w:cs="楷体"/>
          <w:b/>
          <w:bCs/>
          <w:sz w:val="32"/>
          <w:szCs w:val="32"/>
          <w:u w:val="none"/>
        </w:rPr>
        <w:t>（二）社会保障和就业（类）</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1．行政事业单位养老（款）机关事业单位基本养老保险缴费（项）。年初预算</w:t>
      </w:r>
      <w:r>
        <w:rPr>
          <w:rFonts w:hint="eastAsia" w:ascii="仿宋" w:hAnsi="仿宋" w:eastAsia="仿宋" w:cs="仿宋"/>
          <w:w w:val="95"/>
          <w:kern w:val="2"/>
          <w:sz w:val="32"/>
          <w:szCs w:val="32"/>
          <w:u w:val="none"/>
          <w:lang w:val="en-US" w:eastAsia="zh-CN" w:bidi="ar-SA"/>
        </w:rPr>
        <w:t>15.52</w:t>
      </w:r>
      <w:r>
        <w:rPr>
          <w:rFonts w:hint="default" w:ascii="仿宋" w:hAnsi="仿宋" w:eastAsia="仿宋" w:cs="仿宋"/>
          <w:w w:val="95"/>
          <w:kern w:val="2"/>
          <w:sz w:val="32"/>
          <w:szCs w:val="32"/>
          <w:u w:val="none"/>
          <w:lang w:val="en-US" w:eastAsia="zh-CN" w:bidi="ar-SA"/>
        </w:rPr>
        <w:t>万元，</w:t>
      </w:r>
      <w:r>
        <w:rPr>
          <w:rFonts w:hint="eastAsia" w:ascii="仿宋" w:hAnsi="仿宋" w:eastAsia="仿宋" w:cs="仿宋"/>
          <w:w w:val="95"/>
          <w:kern w:val="2"/>
          <w:sz w:val="32"/>
          <w:szCs w:val="32"/>
          <w:u w:val="none"/>
          <w:lang w:val="en-US" w:eastAsia="zh-CN" w:bidi="ar-SA"/>
        </w:rPr>
        <w:t>增加2.43</w:t>
      </w:r>
      <w:r>
        <w:rPr>
          <w:rFonts w:hint="default" w:ascii="仿宋" w:hAnsi="仿宋" w:eastAsia="仿宋" w:cs="仿宋"/>
          <w:w w:val="95"/>
          <w:kern w:val="2"/>
          <w:sz w:val="32"/>
          <w:szCs w:val="32"/>
          <w:u w:val="none"/>
          <w:lang w:val="en-US" w:eastAsia="zh-CN" w:bidi="ar-SA"/>
        </w:rPr>
        <w:t>万元，</w:t>
      </w:r>
      <w:r>
        <w:rPr>
          <w:rFonts w:hint="eastAsia" w:ascii="仿宋" w:hAnsi="仿宋" w:eastAsia="仿宋" w:cs="仿宋"/>
          <w:w w:val="95"/>
          <w:kern w:val="2"/>
          <w:sz w:val="32"/>
          <w:szCs w:val="32"/>
          <w:u w:val="none"/>
          <w:lang w:val="en-US" w:eastAsia="zh-CN" w:bidi="ar-SA"/>
        </w:rPr>
        <w:t>增加18.56</w:t>
      </w:r>
      <w:r>
        <w:rPr>
          <w:rFonts w:hint="default" w:ascii="仿宋" w:hAnsi="仿宋" w:eastAsia="仿宋" w:cs="仿宋"/>
          <w:w w:val="95"/>
          <w:kern w:val="2"/>
          <w:sz w:val="32"/>
          <w:szCs w:val="32"/>
          <w:u w:val="none"/>
          <w:lang w:val="en-US" w:eastAsia="zh-CN" w:bidi="ar-SA"/>
        </w:rPr>
        <w:t>%。主要原因是</w:t>
      </w:r>
      <w:r>
        <w:rPr>
          <w:rFonts w:hint="eastAsia" w:ascii="仿宋" w:hAnsi="仿宋" w:eastAsia="仿宋" w:cs="仿宋"/>
          <w:w w:val="95"/>
          <w:kern w:val="2"/>
          <w:sz w:val="32"/>
          <w:szCs w:val="32"/>
          <w:u w:val="none"/>
          <w:lang w:val="en-US" w:eastAsia="zh-CN" w:bidi="ar-SA"/>
        </w:rPr>
        <w:t>一是人员变动；二是调整职工养老保险基数</w:t>
      </w:r>
      <w:r>
        <w:rPr>
          <w:rFonts w:hint="default" w:ascii="仿宋" w:hAnsi="仿宋" w:eastAsia="仿宋" w:cs="仿宋"/>
          <w:w w:val="95"/>
          <w:kern w:val="2"/>
          <w:sz w:val="32"/>
          <w:szCs w:val="32"/>
          <w:u w:val="none"/>
          <w:lang w:val="en-US" w:eastAsia="zh-CN" w:bidi="ar-SA"/>
        </w:rPr>
        <w:t>。</w:t>
      </w:r>
    </w:p>
    <w:p>
      <w:pPr>
        <w:pStyle w:val="2"/>
        <w:pageBreakBefore w:val="0"/>
        <w:tabs>
          <w:tab w:val="left" w:pos="4275"/>
        </w:tabs>
        <w:kinsoku/>
        <w:wordWrap/>
        <w:overflowPunct/>
        <w:topLinePunct w:val="0"/>
        <w:bidi w:val="0"/>
        <w:spacing w:after="0" w:line="560" w:lineRule="exact"/>
        <w:ind w:firstLine="643" w:firstLineChars="200"/>
        <w:textAlignment w:val="auto"/>
        <w:rPr>
          <w:rFonts w:hint="eastAsia" w:ascii="楷体" w:hAnsi="楷体" w:eastAsia="楷体" w:cs="楷体"/>
          <w:b/>
          <w:bCs/>
          <w:sz w:val="32"/>
          <w:szCs w:val="32"/>
          <w:u w:val="none"/>
        </w:rPr>
      </w:pPr>
      <w:r>
        <w:rPr>
          <w:rFonts w:hint="eastAsia" w:ascii="楷体" w:hAnsi="楷体" w:eastAsia="楷体" w:cs="楷体"/>
          <w:b/>
          <w:bCs/>
          <w:sz w:val="32"/>
          <w:szCs w:val="32"/>
          <w:u w:val="none"/>
        </w:rPr>
        <w:t>（</w:t>
      </w:r>
      <w:r>
        <w:rPr>
          <w:rFonts w:hint="eastAsia" w:ascii="楷体" w:hAnsi="楷体" w:eastAsia="楷体" w:cs="楷体"/>
          <w:b/>
          <w:bCs/>
          <w:sz w:val="32"/>
          <w:szCs w:val="32"/>
          <w:u w:val="none"/>
          <w:lang w:eastAsia="zh-CN"/>
        </w:rPr>
        <w:t>三</w:t>
      </w:r>
      <w:r>
        <w:rPr>
          <w:rFonts w:hint="eastAsia" w:ascii="楷体" w:hAnsi="楷体" w:eastAsia="楷体" w:cs="楷体"/>
          <w:b/>
          <w:bCs/>
          <w:sz w:val="32"/>
          <w:szCs w:val="32"/>
          <w:u w:val="none"/>
        </w:rPr>
        <w:t>）</w:t>
      </w:r>
      <w:r>
        <w:rPr>
          <w:rFonts w:hint="eastAsia" w:ascii="楷体" w:hAnsi="楷体" w:eastAsia="楷体" w:cs="楷体"/>
          <w:b/>
          <w:bCs/>
          <w:sz w:val="32"/>
          <w:szCs w:val="32"/>
          <w:u w:val="none"/>
          <w:lang w:eastAsia="zh-CN"/>
        </w:rPr>
        <w:t>卫生健康</w:t>
      </w:r>
      <w:r>
        <w:rPr>
          <w:rFonts w:hint="eastAsia" w:ascii="楷体" w:hAnsi="楷体" w:eastAsia="楷体" w:cs="楷体"/>
          <w:b/>
          <w:bCs/>
          <w:sz w:val="32"/>
          <w:szCs w:val="32"/>
          <w:u w:val="none"/>
        </w:rPr>
        <w:t>（类）</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1．行政事业单位医疗（款）事业单位医疗（项）。年初预算</w:t>
      </w:r>
      <w:r>
        <w:rPr>
          <w:rFonts w:hint="eastAsia" w:ascii="仿宋" w:hAnsi="仿宋" w:eastAsia="仿宋" w:cs="仿宋"/>
          <w:w w:val="95"/>
          <w:kern w:val="2"/>
          <w:sz w:val="32"/>
          <w:szCs w:val="32"/>
          <w:u w:val="none"/>
          <w:lang w:val="en-US" w:eastAsia="zh-CN" w:bidi="ar-SA"/>
        </w:rPr>
        <w:t>6.33</w:t>
      </w:r>
      <w:r>
        <w:rPr>
          <w:rFonts w:hint="default" w:ascii="仿宋" w:hAnsi="仿宋" w:eastAsia="仿宋" w:cs="仿宋"/>
          <w:w w:val="95"/>
          <w:kern w:val="2"/>
          <w:sz w:val="32"/>
          <w:szCs w:val="32"/>
          <w:u w:val="none"/>
          <w:lang w:val="en-US" w:eastAsia="zh-CN" w:bidi="ar-SA"/>
        </w:rPr>
        <w:t>万元，与上年相比</w:t>
      </w:r>
      <w:r>
        <w:rPr>
          <w:rFonts w:hint="eastAsia" w:ascii="仿宋" w:hAnsi="仿宋" w:eastAsia="仿宋" w:cs="仿宋"/>
          <w:w w:val="95"/>
          <w:kern w:val="2"/>
          <w:sz w:val="32"/>
          <w:szCs w:val="32"/>
          <w:u w:val="none"/>
          <w:lang w:val="en-US" w:eastAsia="zh-CN" w:bidi="ar-SA"/>
        </w:rPr>
        <w:t>增加0.99</w:t>
      </w:r>
      <w:r>
        <w:rPr>
          <w:rFonts w:hint="default" w:ascii="仿宋" w:hAnsi="仿宋" w:eastAsia="仿宋" w:cs="仿宋"/>
          <w:w w:val="95"/>
          <w:kern w:val="2"/>
          <w:sz w:val="32"/>
          <w:szCs w:val="32"/>
          <w:u w:val="none"/>
          <w:lang w:val="en-US" w:eastAsia="zh-CN" w:bidi="ar-SA"/>
        </w:rPr>
        <w:t>万元，</w:t>
      </w:r>
      <w:r>
        <w:rPr>
          <w:rFonts w:hint="eastAsia" w:ascii="仿宋" w:hAnsi="仿宋" w:eastAsia="仿宋" w:cs="仿宋"/>
          <w:w w:val="95"/>
          <w:kern w:val="2"/>
          <w:sz w:val="32"/>
          <w:szCs w:val="32"/>
          <w:u w:val="none"/>
          <w:lang w:val="en-US" w:eastAsia="zh-CN" w:bidi="ar-SA"/>
        </w:rPr>
        <w:t>增加18.53</w:t>
      </w:r>
      <w:r>
        <w:rPr>
          <w:rFonts w:hint="default" w:ascii="仿宋" w:hAnsi="仿宋" w:eastAsia="仿宋" w:cs="仿宋"/>
          <w:w w:val="95"/>
          <w:kern w:val="2"/>
          <w:sz w:val="32"/>
          <w:szCs w:val="32"/>
          <w:u w:val="none"/>
          <w:lang w:val="en-US" w:eastAsia="zh-CN" w:bidi="ar-SA"/>
        </w:rPr>
        <w:t>%。主要原因是</w:t>
      </w:r>
      <w:r>
        <w:rPr>
          <w:rFonts w:hint="eastAsia" w:ascii="仿宋" w:hAnsi="仿宋" w:eastAsia="仿宋" w:cs="仿宋"/>
          <w:w w:val="95"/>
          <w:kern w:val="2"/>
          <w:sz w:val="32"/>
          <w:szCs w:val="32"/>
          <w:u w:val="none"/>
          <w:lang w:val="en-US" w:eastAsia="zh-CN" w:bidi="ar-SA"/>
        </w:rPr>
        <w:t>一是人员变动；二是调整职工医疗保险基数</w:t>
      </w:r>
      <w:r>
        <w:rPr>
          <w:rFonts w:hint="default" w:ascii="仿宋" w:hAnsi="仿宋" w:eastAsia="仿宋" w:cs="仿宋"/>
          <w:w w:val="95"/>
          <w:kern w:val="2"/>
          <w:sz w:val="32"/>
          <w:szCs w:val="32"/>
          <w:u w:val="none"/>
          <w:lang w:val="en-US" w:eastAsia="zh-CN" w:bidi="ar-SA"/>
        </w:rPr>
        <w:t>。</w:t>
      </w:r>
    </w:p>
    <w:p>
      <w:pPr>
        <w:pStyle w:val="2"/>
        <w:pageBreakBefore w:val="0"/>
        <w:tabs>
          <w:tab w:val="left" w:pos="4275"/>
        </w:tabs>
        <w:kinsoku/>
        <w:wordWrap/>
        <w:overflowPunct/>
        <w:topLinePunct w:val="0"/>
        <w:bidi w:val="0"/>
        <w:spacing w:after="0" w:line="560" w:lineRule="exact"/>
        <w:ind w:firstLine="643" w:firstLineChars="200"/>
        <w:textAlignment w:val="auto"/>
        <w:rPr>
          <w:rFonts w:ascii="楷体" w:hAnsi="楷体" w:eastAsia="楷体" w:cs="楷体"/>
          <w:b/>
          <w:bCs/>
          <w:sz w:val="32"/>
          <w:szCs w:val="32"/>
          <w:u w:val="none"/>
        </w:rPr>
      </w:pPr>
      <w:r>
        <w:rPr>
          <w:rFonts w:hint="eastAsia" w:ascii="楷体" w:hAnsi="楷体" w:eastAsia="楷体" w:cs="楷体"/>
          <w:b/>
          <w:bCs/>
          <w:sz w:val="32"/>
          <w:szCs w:val="32"/>
          <w:u w:val="none"/>
        </w:rPr>
        <w:t>（</w:t>
      </w:r>
      <w:r>
        <w:rPr>
          <w:rFonts w:hint="eastAsia" w:ascii="楷体" w:hAnsi="楷体" w:eastAsia="楷体" w:cs="楷体"/>
          <w:b/>
          <w:bCs/>
          <w:sz w:val="32"/>
          <w:szCs w:val="32"/>
          <w:u w:val="none"/>
          <w:lang w:val="en-US" w:eastAsia="zh-CN"/>
        </w:rPr>
        <w:t>四</w:t>
      </w:r>
      <w:r>
        <w:rPr>
          <w:rFonts w:hint="eastAsia" w:ascii="楷体" w:hAnsi="楷体" w:eastAsia="楷体" w:cs="楷体"/>
          <w:b/>
          <w:bCs/>
          <w:sz w:val="32"/>
          <w:szCs w:val="32"/>
          <w:u w:val="none"/>
        </w:rPr>
        <w:t>）</w:t>
      </w:r>
      <w:r>
        <w:rPr>
          <w:rFonts w:hint="eastAsia" w:ascii="楷体" w:hAnsi="楷体" w:eastAsia="楷体" w:cs="楷体"/>
          <w:b/>
          <w:bCs/>
          <w:sz w:val="32"/>
          <w:szCs w:val="32"/>
          <w:u w:val="none"/>
          <w:lang w:eastAsia="zh-CN"/>
        </w:rPr>
        <w:t>商业服务业等</w:t>
      </w:r>
      <w:r>
        <w:rPr>
          <w:rFonts w:hint="eastAsia" w:ascii="楷体" w:hAnsi="楷体" w:eastAsia="楷体" w:cs="楷体"/>
          <w:b/>
          <w:bCs/>
          <w:sz w:val="32"/>
          <w:szCs w:val="32"/>
          <w:u w:val="none"/>
        </w:rPr>
        <w:t>（类）</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1．商业流通事务（款）其他商业流通事务（项）。年初预算</w:t>
      </w:r>
      <w:r>
        <w:rPr>
          <w:rFonts w:hint="eastAsia" w:ascii="仿宋" w:hAnsi="仿宋" w:eastAsia="仿宋" w:cs="仿宋"/>
          <w:w w:val="95"/>
          <w:kern w:val="2"/>
          <w:sz w:val="32"/>
          <w:szCs w:val="32"/>
          <w:u w:val="none"/>
          <w:lang w:val="en-US" w:eastAsia="zh-CN" w:bidi="ar-SA"/>
        </w:rPr>
        <w:t>48.89</w:t>
      </w:r>
      <w:r>
        <w:rPr>
          <w:rFonts w:hint="default" w:ascii="仿宋" w:hAnsi="仿宋" w:eastAsia="仿宋" w:cs="仿宋"/>
          <w:w w:val="95"/>
          <w:kern w:val="2"/>
          <w:sz w:val="32"/>
          <w:szCs w:val="32"/>
          <w:u w:val="none"/>
          <w:lang w:val="en-US" w:eastAsia="zh-CN" w:bidi="ar-SA"/>
        </w:rPr>
        <w:t>万元，与上年相比</w:t>
      </w:r>
      <w:r>
        <w:rPr>
          <w:rFonts w:hint="eastAsia" w:ascii="仿宋" w:hAnsi="仿宋" w:eastAsia="仿宋" w:cs="仿宋"/>
          <w:w w:val="95"/>
          <w:kern w:val="2"/>
          <w:sz w:val="32"/>
          <w:szCs w:val="32"/>
          <w:u w:val="none"/>
          <w:lang w:val="en-US" w:eastAsia="zh-CN" w:bidi="ar-SA"/>
        </w:rPr>
        <w:t>增加32.65</w:t>
      </w:r>
      <w:r>
        <w:rPr>
          <w:rFonts w:hint="default" w:ascii="仿宋" w:hAnsi="仿宋" w:eastAsia="仿宋" w:cs="仿宋"/>
          <w:w w:val="95"/>
          <w:kern w:val="2"/>
          <w:sz w:val="32"/>
          <w:szCs w:val="32"/>
          <w:u w:val="none"/>
          <w:lang w:val="en-US" w:eastAsia="zh-CN" w:bidi="ar-SA"/>
        </w:rPr>
        <w:t>万元，</w:t>
      </w:r>
      <w:r>
        <w:rPr>
          <w:rFonts w:hint="eastAsia" w:ascii="仿宋" w:hAnsi="仿宋" w:eastAsia="仿宋" w:cs="仿宋"/>
          <w:w w:val="95"/>
          <w:kern w:val="2"/>
          <w:sz w:val="32"/>
          <w:szCs w:val="32"/>
          <w:u w:val="none"/>
          <w:lang w:val="en-US" w:eastAsia="zh-CN" w:bidi="ar-SA"/>
        </w:rPr>
        <w:t>增长201.04</w:t>
      </w:r>
      <w:r>
        <w:rPr>
          <w:rFonts w:hint="default" w:ascii="仿宋" w:hAnsi="仿宋" w:eastAsia="仿宋" w:cs="仿宋"/>
          <w:w w:val="95"/>
          <w:kern w:val="2"/>
          <w:sz w:val="32"/>
          <w:szCs w:val="32"/>
          <w:u w:val="none"/>
          <w:lang w:val="en-US" w:eastAsia="zh-CN" w:bidi="ar-SA"/>
        </w:rPr>
        <w:t>%。主要原因是</w:t>
      </w:r>
      <w:r>
        <w:rPr>
          <w:rFonts w:hint="eastAsia" w:ascii="仿宋" w:hAnsi="仿宋" w:eastAsia="仿宋" w:cs="仿宋"/>
          <w:w w:val="95"/>
          <w:kern w:val="2"/>
          <w:sz w:val="32"/>
          <w:szCs w:val="32"/>
          <w:u w:val="none"/>
          <w:lang w:val="en-US" w:eastAsia="zh-CN" w:bidi="ar-SA"/>
        </w:rPr>
        <w:t>存在未支付相关业务活动费用，结转至2024年进行支付。</w:t>
      </w:r>
    </w:p>
    <w:p>
      <w:pPr>
        <w:pStyle w:val="2"/>
        <w:pageBreakBefore w:val="0"/>
        <w:tabs>
          <w:tab w:val="left" w:pos="4275"/>
        </w:tabs>
        <w:kinsoku/>
        <w:wordWrap/>
        <w:overflowPunct/>
        <w:topLinePunct w:val="0"/>
        <w:bidi w:val="0"/>
        <w:spacing w:after="0" w:line="560" w:lineRule="exact"/>
        <w:ind w:firstLine="643" w:firstLineChars="200"/>
        <w:textAlignment w:val="auto"/>
        <w:rPr>
          <w:rFonts w:ascii="楷体" w:hAnsi="楷体" w:eastAsia="楷体" w:cs="楷体"/>
          <w:b/>
          <w:bCs/>
          <w:sz w:val="32"/>
          <w:szCs w:val="32"/>
          <w:u w:val="none"/>
        </w:rPr>
      </w:pPr>
      <w:r>
        <w:rPr>
          <w:rFonts w:hint="eastAsia" w:ascii="楷体" w:hAnsi="楷体" w:eastAsia="楷体" w:cs="楷体"/>
          <w:b/>
          <w:bCs/>
          <w:sz w:val="32"/>
          <w:szCs w:val="32"/>
          <w:u w:val="none"/>
        </w:rPr>
        <w:t>（</w:t>
      </w:r>
      <w:r>
        <w:rPr>
          <w:rFonts w:hint="eastAsia" w:ascii="楷体" w:hAnsi="楷体" w:eastAsia="楷体" w:cs="楷体"/>
          <w:b/>
          <w:bCs/>
          <w:sz w:val="32"/>
          <w:szCs w:val="32"/>
          <w:u w:val="none"/>
          <w:lang w:val="en-US" w:eastAsia="zh-CN"/>
        </w:rPr>
        <w:t>五</w:t>
      </w:r>
      <w:r>
        <w:rPr>
          <w:rFonts w:hint="eastAsia" w:ascii="楷体" w:hAnsi="楷体" w:eastAsia="楷体" w:cs="楷体"/>
          <w:b/>
          <w:bCs/>
          <w:sz w:val="32"/>
          <w:szCs w:val="32"/>
          <w:u w:val="none"/>
        </w:rPr>
        <w:t>）</w:t>
      </w:r>
      <w:r>
        <w:rPr>
          <w:rFonts w:hint="eastAsia" w:ascii="楷体" w:hAnsi="楷体" w:eastAsia="楷体" w:cs="楷体"/>
          <w:b/>
          <w:bCs/>
          <w:sz w:val="32"/>
          <w:szCs w:val="32"/>
          <w:u w:val="none"/>
          <w:lang w:eastAsia="zh-CN"/>
        </w:rPr>
        <w:t>住房保障</w:t>
      </w:r>
      <w:r>
        <w:rPr>
          <w:rFonts w:hint="eastAsia" w:ascii="楷体" w:hAnsi="楷体" w:eastAsia="楷体" w:cs="楷体"/>
          <w:b/>
          <w:bCs/>
          <w:sz w:val="32"/>
          <w:szCs w:val="32"/>
          <w:u w:val="none"/>
        </w:rPr>
        <w:t>（类）</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1．住房改革（款）住房公积金（项）。年初预算</w:t>
      </w:r>
      <w:r>
        <w:rPr>
          <w:rFonts w:hint="eastAsia" w:ascii="仿宋" w:hAnsi="仿宋" w:eastAsia="仿宋" w:cs="仿宋"/>
          <w:w w:val="95"/>
          <w:kern w:val="2"/>
          <w:sz w:val="32"/>
          <w:szCs w:val="32"/>
          <w:u w:val="none"/>
          <w:lang w:val="en-US" w:eastAsia="zh-CN" w:bidi="ar-SA"/>
        </w:rPr>
        <w:t>12.13</w:t>
      </w:r>
      <w:r>
        <w:rPr>
          <w:rFonts w:hint="default" w:ascii="仿宋" w:hAnsi="仿宋" w:eastAsia="仿宋" w:cs="仿宋"/>
          <w:w w:val="95"/>
          <w:kern w:val="2"/>
          <w:sz w:val="32"/>
          <w:szCs w:val="32"/>
          <w:u w:val="none"/>
          <w:lang w:val="en-US" w:eastAsia="zh-CN" w:bidi="ar-SA"/>
        </w:rPr>
        <w:t>万元，与上年相比</w:t>
      </w:r>
      <w:r>
        <w:rPr>
          <w:rFonts w:hint="eastAsia" w:ascii="仿宋" w:hAnsi="仿宋" w:eastAsia="仿宋" w:cs="仿宋"/>
          <w:w w:val="95"/>
          <w:kern w:val="2"/>
          <w:sz w:val="32"/>
          <w:szCs w:val="32"/>
          <w:u w:val="none"/>
          <w:lang w:val="en-US" w:eastAsia="zh-CN" w:bidi="ar-SA"/>
        </w:rPr>
        <w:t>增加1.87</w:t>
      </w:r>
      <w:r>
        <w:rPr>
          <w:rFonts w:hint="default" w:ascii="仿宋" w:hAnsi="仿宋" w:eastAsia="仿宋" w:cs="仿宋"/>
          <w:w w:val="95"/>
          <w:kern w:val="2"/>
          <w:sz w:val="32"/>
          <w:szCs w:val="32"/>
          <w:u w:val="none"/>
          <w:lang w:val="en-US" w:eastAsia="zh-CN" w:bidi="ar-SA"/>
        </w:rPr>
        <w:t>万元，</w:t>
      </w:r>
      <w:r>
        <w:rPr>
          <w:rFonts w:hint="eastAsia" w:ascii="仿宋" w:hAnsi="仿宋" w:eastAsia="仿宋" w:cs="仿宋"/>
          <w:w w:val="95"/>
          <w:kern w:val="2"/>
          <w:sz w:val="32"/>
          <w:szCs w:val="32"/>
          <w:u w:val="none"/>
          <w:lang w:val="en-US" w:eastAsia="zh-CN" w:bidi="ar-SA"/>
        </w:rPr>
        <w:t>增加18.22</w:t>
      </w:r>
      <w:r>
        <w:rPr>
          <w:rFonts w:hint="default" w:ascii="仿宋" w:hAnsi="仿宋" w:eastAsia="仿宋" w:cs="仿宋"/>
          <w:w w:val="95"/>
          <w:kern w:val="2"/>
          <w:sz w:val="32"/>
          <w:szCs w:val="32"/>
          <w:u w:val="none"/>
          <w:lang w:val="en-US" w:eastAsia="zh-CN" w:bidi="ar-SA"/>
        </w:rPr>
        <w:t>%。主要原因是</w:t>
      </w:r>
      <w:r>
        <w:rPr>
          <w:rFonts w:hint="eastAsia" w:ascii="仿宋" w:hAnsi="仿宋" w:eastAsia="仿宋" w:cs="仿宋"/>
          <w:w w:val="95"/>
          <w:kern w:val="2"/>
          <w:sz w:val="32"/>
          <w:szCs w:val="32"/>
          <w:u w:val="none"/>
          <w:lang w:val="en-US" w:eastAsia="zh-CN" w:bidi="ar-SA"/>
        </w:rPr>
        <w:t>一是人员变动；二是调整职工住房公积金基数。</w:t>
      </w:r>
    </w:p>
    <w:p>
      <w:pPr>
        <w:pageBreakBefore w:val="0"/>
        <w:kinsoku/>
        <w:wordWrap/>
        <w:overflowPunct/>
        <w:topLinePunct w:val="0"/>
        <w:bidi w:val="0"/>
        <w:spacing w:line="560" w:lineRule="exact"/>
        <w:ind w:firstLine="640" w:firstLineChars="200"/>
        <w:textAlignment w:val="auto"/>
        <w:outlineLvl w:val="0"/>
        <w:rPr>
          <w:rFonts w:eastAsia="黑体" w:cs="黑体"/>
          <w:b w:val="0"/>
          <w:bCs w:val="0"/>
          <w:sz w:val="32"/>
          <w:szCs w:val="36"/>
          <w:u w:val="none"/>
        </w:rPr>
      </w:pPr>
      <w:r>
        <w:rPr>
          <w:rFonts w:hint="eastAsia" w:eastAsia="黑体" w:cs="黑体"/>
          <w:b w:val="0"/>
          <w:bCs w:val="0"/>
          <w:sz w:val="32"/>
          <w:szCs w:val="36"/>
          <w:u w:val="none"/>
        </w:rPr>
        <w:t>六、一般公共预算基本支出预算情况说明</w:t>
      </w:r>
    </w:p>
    <w:p>
      <w:pPr>
        <w:pStyle w:val="2"/>
        <w:pageBreakBefore w:val="0"/>
        <w:tabs>
          <w:tab w:val="left" w:pos="5840"/>
          <w:tab w:val="left" w:pos="7858"/>
          <w:tab w:val="left" w:pos="9328"/>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eastAsia" w:ascii="仿宋" w:hAnsi="仿宋" w:eastAsia="仿宋" w:cs="仿宋"/>
          <w:w w:val="95"/>
          <w:kern w:val="2"/>
          <w:sz w:val="32"/>
          <w:szCs w:val="32"/>
          <w:u w:val="none"/>
          <w:lang w:val="en-US" w:eastAsia="zh-CN" w:bidi="ar-SA"/>
        </w:rPr>
        <w:t>包头市口岸服务中心</w:t>
      </w:r>
      <w:r>
        <w:rPr>
          <w:rFonts w:hint="default" w:ascii="仿宋" w:hAnsi="仿宋" w:eastAsia="仿宋" w:cs="仿宋"/>
          <w:w w:val="95"/>
          <w:kern w:val="2"/>
          <w:sz w:val="32"/>
          <w:szCs w:val="32"/>
          <w:u w:val="none"/>
          <w:lang w:val="en-US" w:eastAsia="zh-CN" w:bidi="ar-SA"/>
        </w:rPr>
        <w:t xml:space="preserve"> </w:t>
      </w:r>
      <w:r>
        <w:rPr>
          <w:rFonts w:hint="eastAsia" w:ascii="仿宋" w:hAnsi="仿宋" w:eastAsia="仿宋" w:cs="仿宋"/>
          <w:w w:val="95"/>
          <w:kern w:val="2"/>
          <w:sz w:val="32"/>
          <w:szCs w:val="32"/>
          <w:u w:val="none"/>
          <w:lang w:val="en-US" w:eastAsia="zh-CN" w:bidi="ar-SA"/>
        </w:rPr>
        <w:t>2024年度</w:t>
      </w:r>
      <w:r>
        <w:rPr>
          <w:rFonts w:hint="default" w:ascii="仿宋" w:hAnsi="仿宋" w:eastAsia="仿宋" w:cs="仿宋"/>
          <w:w w:val="95"/>
          <w:kern w:val="2"/>
          <w:sz w:val="32"/>
          <w:szCs w:val="32"/>
          <w:u w:val="none"/>
          <w:lang w:val="en-US" w:eastAsia="zh-CN" w:bidi="ar-SA"/>
        </w:rPr>
        <w:t>一般公共预算财政拨款基本支出预算</w:t>
      </w:r>
      <w:r>
        <w:rPr>
          <w:rFonts w:hint="eastAsia" w:ascii="仿宋" w:hAnsi="仿宋" w:eastAsia="仿宋" w:cs="仿宋"/>
          <w:w w:val="95"/>
          <w:kern w:val="2"/>
          <w:sz w:val="32"/>
          <w:szCs w:val="32"/>
          <w:u w:val="none"/>
          <w:lang w:val="en-US" w:eastAsia="zh-CN" w:bidi="ar-SA"/>
        </w:rPr>
        <w:t>165.21</w:t>
      </w:r>
      <w:r>
        <w:rPr>
          <w:rFonts w:hint="default" w:ascii="仿宋" w:hAnsi="仿宋" w:eastAsia="仿宋" w:cs="仿宋"/>
          <w:w w:val="95"/>
          <w:kern w:val="2"/>
          <w:sz w:val="32"/>
          <w:szCs w:val="32"/>
          <w:u w:val="none"/>
          <w:lang w:val="en-US" w:eastAsia="zh-CN" w:bidi="ar-SA"/>
        </w:rPr>
        <w:t>万元，其中：</w:t>
      </w:r>
    </w:p>
    <w:p>
      <w:pPr>
        <w:pStyle w:val="2"/>
        <w:pageBreakBefore w:val="0"/>
        <w:tabs>
          <w:tab w:val="left" w:pos="2671"/>
          <w:tab w:val="left" w:pos="5000"/>
          <w:tab w:val="left" w:pos="6190"/>
        </w:tabs>
        <w:kinsoku/>
        <w:wordWrap/>
        <w:overflowPunct/>
        <w:topLinePunct w:val="0"/>
        <w:bidi w:val="0"/>
        <w:spacing w:after="0" w:line="560" w:lineRule="exact"/>
        <w:ind w:firstLine="643" w:firstLineChars="200"/>
        <w:textAlignment w:val="auto"/>
        <w:rPr>
          <w:rFonts w:hint="default" w:ascii="仿宋" w:hAnsi="仿宋" w:eastAsia="仿宋" w:cs="仿宋"/>
          <w:w w:val="95"/>
          <w:kern w:val="2"/>
          <w:sz w:val="32"/>
          <w:szCs w:val="32"/>
          <w:u w:val="none"/>
          <w:lang w:val="en-US" w:eastAsia="zh-CN" w:bidi="ar-SA"/>
        </w:rPr>
      </w:pPr>
      <w:r>
        <w:rPr>
          <w:rFonts w:hint="default" w:ascii="楷体" w:hAnsi="楷体" w:eastAsia="楷体" w:cs="楷体"/>
          <w:b/>
          <w:bCs/>
          <w:sz w:val="32"/>
          <w:szCs w:val="32"/>
          <w:u w:val="none"/>
          <w:lang w:eastAsia="zh-CN"/>
        </w:rPr>
        <w:t xml:space="preserve">（一）人员经费 </w:t>
      </w:r>
      <w:r>
        <w:rPr>
          <w:rFonts w:hint="eastAsia" w:ascii="楷体" w:hAnsi="楷体" w:eastAsia="楷体" w:cs="楷体"/>
          <w:b/>
          <w:bCs/>
          <w:sz w:val="32"/>
          <w:szCs w:val="32"/>
          <w:u w:val="none"/>
          <w:lang w:val="en-US" w:eastAsia="zh-CN"/>
        </w:rPr>
        <w:t>160.06</w:t>
      </w:r>
      <w:r>
        <w:rPr>
          <w:rFonts w:hint="default" w:ascii="楷体" w:hAnsi="楷体" w:eastAsia="楷体" w:cs="楷体"/>
          <w:b/>
          <w:bCs/>
          <w:sz w:val="32"/>
          <w:szCs w:val="32"/>
          <w:u w:val="none"/>
          <w:lang w:eastAsia="zh-CN"/>
        </w:rPr>
        <w:t>万元。</w:t>
      </w:r>
      <w:r>
        <w:rPr>
          <w:rFonts w:hint="default" w:ascii="仿宋" w:hAnsi="仿宋" w:eastAsia="仿宋" w:cs="仿宋"/>
          <w:w w:val="95"/>
          <w:kern w:val="2"/>
          <w:sz w:val="32"/>
          <w:szCs w:val="32"/>
          <w:u w:val="none"/>
          <w:lang w:val="en-US" w:eastAsia="zh-CN" w:bidi="ar-SA"/>
        </w:rPr>
        <w:t>主要包括：基本工资</w:t>
      </w:r>
      <w:r>
        <w:rPr>
          <w:rFonts w:hint="eastAsia" w:ascii="仿宋" w:hAnsi="仿宋" w:eastAsia="仿宋" w:cs="仿宋"/>
          <w:w w:val="95"/>
          <w:kern w:val="2"/>
          <w:sz w:val="32"/>
          <w:szCs w:val="32"/>
          <w:u w:val="none"/>
          <w:lang w:val="en-US" w:eastAsia="zh-CN" w:bidi="ar-SA"/>
        </w:rPr>
        <w:t>42.66万元</w:t>
      </w:r>
      <w:r>
        <w:rPr>
          <w:rFonts w:hint="default" w:ascii="仿宋" w:hAnsi="仿宋" w:eastAsia="仿宋" w:cs="仿宋"/>
          <w:w w:val="95"/>
          <w:kern w:val="2"/>
          <w:sz w:val="32"/>
          <w:szCs w:val="32"/>
          <w:u w:val="none"/>
          <w:lang w:val="en-US" w:eastAsia="zh-CN" w:bidi="ar-SA"/>
        </w:rPr>
        <w:t>、津贴补贴</w:t>
      </w:r>
      <w:r>
        <w:rPr>
          <w:rFonts w:hint="eastAsia" w:ascii="仿宋" w:hAnsi="仿宋" w:eastAsia="仿宋" w:cs="仿宋"/>
          <w:w w:val="95"/>
          <w:kern w:val="2"/>
          <w:sz w:val="32"/>
          <w:szCs w:val="32"/>
          <w:u w:val="none"/>
          <w:lang w:val="en-US" w:eastAsia="zh-CN" w:bidi="ar-SA"/>
        </w:rPr>
        <w:t>14.63万元</w:t>
      </w:r>
      <w:r>
        <w:rPr>
          <w:rFonts w:hint="default" w:ascii="仿宋" w:hAnsi="仿宋" w:eastAsia="仿宋" w:cs="仿宋"/>
          <w:w w:val="95"/>
          <w:kern w:val="2"/>
          <w:sz w:val="32"/>
          <w:szCs w:val="32"/>
          <w:u w:val="none"/>
          <w:lang w:val="en-US" w:eastAsia="zh-CN" w:bidi="ar-SA"/>
        </w:rPr>
        <w:t>、奖金</w:t>
      </w:r>
      <w:r>
        <w:rPr>
          <w:rFonts w:hint="eastAsia" w:ascii="仿宋" w:hAnsi="仿宋" w:eastAsia="仿宋" w:cs="仿宋"/>
          <w:w w:val="95"/>
          <w:kern w:val="2"/>
          <w:sz w:val="32"/>
          <w:szCs w:val="32"/>
          <w:u w:val="none"/>
          <w:lang w:val="en-US" w:eastAsia="zh-CN" w:bidi="ar-SA"/>
        </w:rPr>
        <w:t>19.17万元</w:t>
      </w:r>
      <w:r>
        <w:rPr>
          <w:rFonts w:hint="default" w:ascii="仿宋" w:hAnsi="仿宋" w:eastAsia="仿宋" w:cs="仿宋"/>
          <w:w w:val="95"/>
          <w:kern w:val="2"/>
          <w:sz w:val="32"/>
          <w:szCs w:val="32"/>
          <w:u w:val="none"/>
          <w:lang w:val="en-US" w:eastAsia="zh-CN" w:bidi="ar-SA"/>
        </w:rPr>
        <w:t>、绩效工资</w:t>
      </w:r>
      <w:r>
        <w:rPr>
          <w:rFonts w:hint="eastAsia" w:ascii="仿宋" w:hAnsi="仿宋" w:eastAsia="仿宋" w:cs="仿宋"/>
          <w:w w:val="95"/>
          <w:kern w:val="2"/>
          <w:sz w:val="32"/>
          <w:szCs w:val="32"/>
          <w:u w:val="none"/>
          <w:lang w:val="en-US" w:eastAsia="zh-CN" w:bidi="ar-SA"/>
        </w:rPr>
        <w:t>42.98万元</w:t>
      </w:r>
      <w:r>
        <w:rPr>
          <w:rFonts w:hint="default" w:ascii="仿宋" w:hAnsi="仿宋" w:eastAsia="仿宋" w:cs="仿宋"/>
          <w:w w:val="95"/>
          <w:kern w:val="2"/>
          <w:sz w:val="32"/>
          <w:szCs w:val="32"/>
          <w:u w:val="none"/>
          <w:lang w:val="en-US" w:eastAsia="zh-CN" w:bidi="ar-SA"/>
        </w:rPr>
        <w:t>、机关事业单位基本养老保险缴费</w:t>
      </w:r>
      <w:r>
        <w:rPr>
          <w:rFonts w:hint="eastAsia" w:ascii="仿宋" w:hAnsi="仿宋" w:eastAsia="仿宋" w:cs="仿宋"/>
          <w:w w:val="95"/>
          <w:kern w:val="2"/>
          <w:sz w:val="32"/>
          <w:szCs w:val="32"/>
          <w:u w:val="none"/>
          <w:lang w:val="en-US" w:eastAsia="zh-CN" w:bidi="ar-SA"/>
        </w:rPr>
        <w:t>15.52万元、</w:t>
      </w:r>
      <w:r>
        <w:rPr>
          <w:rFonts w:hint="default" w:ascii="仿宋" w:hAnsi="仿宋" w:eastAsia="仿宋" w:cs="仿宋"/>
          <w:w w:val="95"/>
          <w:kern w:val="2"/>
          <w:sz w:val="32"/>
          <w:szCs w:val="32"/>
          <w:u w:val="none"/>
          <w:lang w:val="en-US" w:eastAsia="zh-CN" w:bidi="ar-SA"/>
        </w:rPr>
        <w:t>职工基本医疗保险缴费</w:t>
      </w:r>
      <w:r>
        <w:rPr>
          <w:rFonts w:hint="eastAsia" w:ascii="仿宋" w:hAnsi="仿宋" w:eastAsia="仿宋" w:cs="仿宋"/>
          <w:w w:val="95"/>
          <w:kern w:val="2"/>
          <w:sz w:val="32"/>
          <w:szCs w:val="32"/>
          <w:u w:val="none"/>
          <w:lang w:val="en-US" w:eastAsia="zh-CN" w:bidi="ar-SA"/>
        </w:rPr>
        <w:t>6.33万元、</w:t>
      </w:r>
      <w:r>
        <w:rPr>
          <w:rFonts w:hint="default" w:ascii="仿宋" w:hAnsi="仿宋" w:eastAsia="仿宋" w:cs="仿宋"/>
          <w:w w:val="95"/>
          <w:kern w:val="2"/>
          <w:sz w:val="32"/>
          <w:szCs w:val="32"/>
          <w:u w:val="none"/>
          <w:lang w:val="en-US" w:eastAsia="zh-CN" w:bidi="ar-SA"/>
        </w:rPr>
        <w:t>其他社会保障缴费</w:t>
      </w:r>
      <w:r>
        <w:rPr>
          <w:rFonts w:hint="eastAsia" w:ascii="仿宋" w:hAnsi="仿宋" w:eastAsia="仿宋" w:cs="仿宋"/>
          <w:w w:val="95"/>
          <w:kern w:val="2"/>
          <w:sz w:val="32"/>
          <w:szCs w:val="32"/>
          <w:u w:val="none"/>
          <w:lang w:val="en-US" w:eastAsia="zh-CN" w:bidi="ar-SA"/>
        </w:rPr>
        <w:t>2.28万元、</w:t>
      </w:r>
      <w:r>
        <w:rPr>
          <w:rFonts w:hint="default" w:ascii="仿宋" w:hAnsi="仿宋" w:eastAsia="仿宋" w:cs="仿宋"/>
          <w:w w:val="95"/>
          <w:kern w:val="2"/>
          <w:sz w:val="32"/>
          <w:szCs w:val="32"/>
          <w:u w:val="none"/>
          <w:lang w:val="en-US" w:eastAsia="zh-CN" w:bidi="ar-SA"/>
        </w:rPr>
        <w:t>住房公积金</w:t>
      </w:r>
      <w:r>
        <w:rPr>
          <w:rFonts w:hint="eastAsia" w:ascii="仿宋" w:hAnsi="仿宋" w:eastAsia="仿宋" w:cs="仿宋"/>
          <w:w w:val="95"/>
          <w:kern w:val="2"/>
          <w:sz w:val="32"/>
          <w:szCs w:val="32"/>
          <w:u w:val="none"/>
          <w:lang w:val="en-US" w:eastAsia="zh-CN" w:bidi="ar-SA"/>
        </w:rPr>
        <w:t>12.13万元、</w:t>
      </w:r>
      <w:r>
        <w:rPr>
          <w:rFonts w:hint="default" w:ascii="仿宋" w:hAnsi="仿宋" w:eastAsia="仿宋" w:cs="仿宋"/>
          <w:w w:val="95"/>
          <w:kern w:val="2"/>
          <w:sz w:val="32"/>
          <w:szCs w:val="32"/>
          <w:u w:val="none"/>
          <w:lang w:val="en-US" w:eastAsia="zh-CN" w:bidi="ar-SA"/>
        </w:rPr>
        <w:t>工会经费</w:t>
      </w:r>
      <w:r>
        <w:rPr>
          <w:rFonts w:hint="eastAsia" w:ascii="仿宋" w:hAnsi="仿宋" w:eastAsia="仿宋" w:cs="仿宋"/>
          <w:w w:val="95"/>
          <w:kern w:val="2"/>
          <w:sz w:val="32"/>
          <w:szCs w:val="32"/>
          <w:u w:val="none"/>
          <w:lang w:val="en-US" w:eastAsia="zh-CN" w:bidi="ar-SA"/>
        </w:rPr>
        <w:t>1.94万元</w:t>
      </w:r>
      <w:r>
        <w:rPr>
          <w:rFonts w:hint="default" w:ascii="仿宋" w:hAnsi="仿宋" w:eastAsia="仿宋" w:cs="仿宋"/>
          <w:w w:val="95"/>
          <w:kern w:val="2"/>
          <w:sz w:val="32"/>
          <w:szCs w:val="32"/>
          <w:u w:val="none"/>
          <w:lang w:val="en-US" w:eastAsia="zh-CN" w:bidi="ar-SA"/>
        </w:rPr>
        <w:t>、福利费</w:t>
      </w:r>
      <w:r>
        <w:rPr>
          <w:rFonts w:hint="eastAsia" w:ascii="仿宋" w:hAnsi="仿宋" w:eastAsia="仿宋" w:cs="仿宋"/>
          <w:w w:val="95"/>
          <w:kern w:val="2"/>
          <w:sz w:val="32"/>
          <w:szCs w:val="32"/>
          <w:u w:val="none"/>
          <w:lang w:val="en-US" w:eastAsia="zh-CN" w:bidi="ar-SA"/>
        </w:rPr>
        <w:t>2.43万元</w:t>
      </w:r>
      <w:r>
        <w:rPr>
          <w:rFonts w:hint="default" w:ascii="仿宋" w:hAnsi="仿宋" w:eastAsia="仿宋" w:cs="仿宋"/>
          <w:w w:val="95"/>
          <w:kern w:val="2"/>
          <w:sz w:val="32"/>
          <w:szCs w:val="32"/>
          <w:u w:val="none"/>
          <w:lang w:val="en-US" w:eastAsia="zh-CN" w:bidi="ar-SA"/>
        </w:rPr>
        <w:t>。</w:t>
      </w:r>
    </w:p>
    <w:p>
      <w:pPr>
        <w:pStyle w:val="2"/>
        <w:pageBreakBefore w:val="0"/>
        <w:tabs>
          <w:tab w:val="left" w:pos="2671"/>
          <w:tab w:val="left" w:pos="5000"/>
          <w:tab w:val="left" w:pos="6190"/>
        </w:tabs>
        <w:kinsoku/>
        <w:wordWrap/>
        <w:overflowPunct/>
        <w:topLinePunct w:val="0"/>
        <w:bidi w:val="0"/>
        <w:spacing w:after="0" w:line="560" w:lineRule="exact"/>
        <w:ind w:firstLine="643" w:firstLineChars="200"/>
        <w:textAlignment w:val="auto"/>
        <w:rPr>
          <w:rFonts w:hint="default" w:ascii="仿宋" w:hAnsi="仿宋" w:eastAsia="仿宋" w:cs="仿宋"/>
          <w:w w:val="95"/>
          <w:kern w:val="2"/>
          <w:sz w:val="32"/>
          <w:szCs w:val="32"/>
          <w:u w:val="none"/>
          <w:lang w:val="en-US" w:eastAsia="zh-CN" w:bidi="ar-SA"/>
        </w:rPr>
      </w:pPr>
      <w:r>
        <w:rPr>
          <w:rFonts w:hint="default" w:ascii="楷体" w:hAnsi="楷体" w:eastAsia="楷体" w:cs="楷体"/>
          <w:b/>
          <w:bCs/>
          <w:sz w:val="32"/>
          <w:szCs w:val="32"/>
          <w:u w:val="none"/>
          <w:lang w:eastAsia="zh-CN"/>
        </w:rPr>
        <w:t xml:space="preserve">（二）公用经费 </w:t>
      </w:r>
      <w:r>
        <w:rPr>
          <w:rFonts w:hint="eastAsia" w:ascii="楷体" w:hAnsi="楷体" w:eastAsia="楷体" w:cs="楷体"/>
          <w:b/>
          <w:bCs/>
          <w:sz w:val="32"/>
          <w:szCs w:val="32"/>
          <w:u w:val="none"/>
          <w:lang w:val="en-US" w:eastAsia="zh-CN"/>
        </w:rPr>
        <w:t>5.15</w:t>
      </w:r>
      <w:r>
        <w:rPr>
          <w:rFonts w:hint="default" w:ascii="楷体" w:hAnsi="楷体" w:eastAsia="楷体" w:cs="楷体"/>
          <w:b/>
          <w:bCs/>
          <w:sz w:val="32"/>
          <w:szCs w:val="32"/>
          <w:u w:val="none"/>
          <w:lang w:eastAsia="zh-CN"/>
        </w:rPr>
        <w:t>万元。</w:t>
      </w:r>
      <w:r>
        <w:rPr>
          <w:rFonts w:hint="default" w:ascii="仿宋" w:hAnsi="仿宋" w:eastAsia="仿宋" w:cs="仿宋"/>
          <w:w w:val="95"/>
          <w:kern w:val="2"/>
          <w:sz w:val="32"/>
          <w:szCs w:val="32"/>
          <w:u w:val="none"/>
          <w:lang w:val="en-US" w:eastAsia="zh-CN" w:bidi="ar-SA"/>
        </w:rPr>
        <w:t>主要包括：办公费</w:t>
      </w:r>
      <w:r>
        <w:rPr>
          <w:rFonts w:hint="eastAsia" w:ascii="仿宋" w:hAnsi="仿宋" w:eastAsia="仿宋" w:cs="仿宋"/>
          <w:w w:val="95"/>
          <w:kern w:val="2"/>
          <w:sz w:val="32"/>
          <w:szCs w:val="32"/>
          <w:u w:val="none"/>
          <w:lang w:val="en-US" w:eastAsia="zh-CN" w:bidi="ar-SA"/>
        </w:rPr>
        <w:t>0.51万元</w:t>
      </w:r>
      <w:r>
        <w:rPr>
          <w:rFonts w:hint="default" w:ascii="仿宋" w:hAnsi="仿宋" w:eastAsia="仿宋" w:cs="仿宋"/>
          <w:w w:val="95"/>
          <w:kern w:val="2"/>
          <w:sz w:val="32"/>
          <w:szCs w:val="32"/>
          <w:u w:val="none"/>
          <w:lang w:val="en-US" w:eastAsia="zh-CN" w:bidi="ar-SA"/>
        </w:rPr>
        <w:t>、邮电费</w:t>
      </w:r>
      <w:r>
        <w:rPr>
          <w:rFonts w:hint="eastAsia" w:ascii="仿宋" w:hAnsi="仿宋" w:eastAsia="仿宋" w:cs="仿宋"/>
          <w:w w:val="95"/>
          <w:kern w:val="2"/>
          <w:sz w:val="32"/>
          <w:szCs w:val="32"/>
          <w:u w:val="none"/>
          <w:lang w:val="en-US" w:eastAsia="zh-CN" w:bidi="ar-SA"/>
        </w:rPr>
        <w:t>0.2万元</w:t>
      </w:r>
      <w:r>
        <w:rPr>
          <w:rFonts w:hint="default" w:ascii="仿宋" w:hAnsi="仿宋" w:eastAsia="仿宋" w:cs="仿宋"/>
          <w:w w:val="95"/>
          <w:kern w:val="2"/>
          <w:sz w:val="32"/>
          <w:szCs w:val="32"/>
          <w:u w:val="none"/>
          <w:lang w:val="en-US" w:eastAsia="zh-CN" w:bidi="ar-SA"/>
        </w:rPr>
        <w:t>、差旅费</w:t>
      </w:r>
      <w:r>
        <w:rPr>
          <w:rFonts w:hint="eastAsia" w:ascii="仿宋" w:hAnsi="仿宋" w:eastAsia="仿宋" w:cs="仿宋"/>
          <w:w w:val="95"/>
          <w:kern w:val="2"/>
          <w:sz w:val="32"/>
          <w:szCs w:val="32"/>
          <w:u w:val="none"/>
          <w:lang w:val="en-US" w:eastAsia="zh-CN" w:bidi="ar-SA"/>
        </w:rPr>
        <w:t>1.21万元</w:t>
      </w:r>
      <w:r>
        <w:rPr>
          <w:rFonts w:hint="default" w:ascii="仿宋" w:hAnsi="仿宋" w:eastAsia="仿宋" w:cs="仿宋"/>
          <w:w w:val="95"/>
          <w:kern w:val="2"/>
          <w:sz w:val="32"/>
          <w:szCs w:val="32"/>
          <w:u w:val="none"/>
          <w:lang w:val="en-US" w:eastAsia="zh-CN" w:bidi="ar-SA"/>
        </w:rPr>
        <w:t>、委托业务费</w:t>
      </w:r>
      <w:r>
        <w:rPr>
          <w:rFonts w:hint="eastAsia" w:ascii="仿宋" w:hAnsi="仿宋" w:eastAsia="仿宋" w:cs="仿宋"/>
          <w:w w:val="95"/>
          <w:kern w:val="2"/>
          <w:sz w:val="32"/>
          <w:szCs w:val="32"/>
          <w:u w:val="none"/>
          <w:lang w:val="en-US" w:eastAsia="zh-CN" w:bidi="ar-SA"/>
        </w:rPr>
        <w:t>0.68万元</w:t>
      </w:r>
      <w:r>
        <w:rPr>
          <w:rFonts w:hint="default" w:ascii="仿宋" w:hAnsi="仿宋" w:eastAsia="仿宋" w:cs="仿宋"/>
          <w:w w:val="95"/>
          <w:kern w:val="2"/>
          <w:sz w:val="32"/>
          <w:szCs w:val="32"/>
          <w:u w:val="none"/>
          <w:lang w:val="en-US" w:eastAsia="zh-CN" w:bidi="ar-SA"/>
        </w:rPr>
        <w:t>、公务用车运行维护费</w:t>
      </w:r>
      <w:r>
        <w:rPr>
          <w:rFonts w:hint="eastAsia" w:ascii="仿宋" w:hAnsi="仿宋" w:eastAsia="仿宋" w:cs="仿宋"/>
          <w:w w:val="95"/>
          <w:kern w:val="2"/>
          <w:sz w:val="32"/>
          <w:szCs w:val="32"/>
          <w:u w:val="none"/>
          <w:lang w:val="en-US" w:eastAsia="zh-CN" w:bidi="ar-SA"/>
        </w:rPr>
        <w:t>2.5万元、其他商品和服务支出0.05万元</w:t>
      </w:r>
      <w:r>
        <w:rPr>
          <w:rFonts w:hint="default" w:ascii="仿宋" w:hAnsi="仿宋" w:eastAsia="仿宋" w:cs="仿宋"/>
          <w:w w:val="95"/>
          <w:kern w:val="2"/>
          <w:sz w:val="32"/>
          <w:szCs w:val="32"/>
          <w:u w:val="none"/>
          <w:lang w:val="en-US" w:eastAsia="zh-CN" w:bidi="ar-SA"/>
        </w:rPr>
        <w:t>。</w:t>
      </w:r>
    </w:p>
    <w:p>
      <w:pPr>
        <w:pageBreakBefore w:val="0"/>
        <w:kinsoku/>
        <w:wordWrap/>
        <w:overflowPunct/>
        <w:topLinePunct w:val="0"/>
        <w:bidi w:val="0"/>
        <w:spacing w:line="560" w:lineRule="exact"/>
        <w:ind w:firstLine="640" w:firstLineChars="200"/>
        <w:textAlignment w:val="auto"/>
        <w:outlineLvl w:val="0"/>
        <w:rPr>
          <w:rFonts w:eastAsia="黑体" w:cs="黑体"/>
          <w:b w:val="0"/>
          <w:bCs w:val="0"/>
          <w:sz w:val="32"/>
          <w:szCs w:val="36"/>
          <w:u w:val="none"/>
        </w:rPr>
      </w:pPr>
      <w:r>
        <w:rPr>
          <w:rFonts w:hint="eastAsia" w:eastAsia="黑体" w:cs="黑体"/>
          <w:b w:val="0"/>
          <w:bCs w:val="0"/>
          <w:sz w:val="32"/>
          <w:szCs w:val="36"/>
          <w:u w:val="none"/>
        </w:rPr>
        <w:t>七、一般公共预算“三公”经费支出预算情况说明</w:t>
      </w:r>
    </w:p>
    <w:p>
      <w:pPr>
        <w:pStyle w:val="2"/>
        <w:pageBreakBefore w:val="0"/>
        <w:tabs>
          <w:tab w:val="left" w:pos="2671"/>
          <w:tab w:val="left" w:pos="5000"/>
          <w:tab w:val="left" w:pos="6190"/>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eastAsia" w:ascii="仿宋" w:hAnsi="仿宋" w:eastAsia="仿宋" w:cs="仿宋"/>
          <w:w w:val="95"/>
          <w:kern w:val="2"/>
          <w:sz w:val="32"/>
          <w:szCs w:val="32"/>
          <w:u w:val="none"/>
          <w:lang w:val="en-US" w:eastAsia="zh-CN" w:bidi="ar-SA"/>
        </w:rPr>
        <w:t>包头市口岸服务中心2024年度</w:t>
      </w:r>
      <w:r>
        <w:rPr>
          <w:rFonts w:hint="default" w:ascii="仿宋" w:hAnsi="仿宋" w:eastAsia="仿宋" w:cs="仿宋"/>
          <w:w w:val="95"/>
          <w:kern w:val="2"/>
          <w:sz w:val="32"/>
          <w:szCs w:val="32"/>
          <w:u w:val="none"/>
          <w:lang w:val="en-US" w:eastAsia="zh-CN" w:bidi="ar-SA"/>
        </w:rPr>
        <w:t>一般公共预算拨款安排的“三公”经费预算支出</w:t>
      </w:r>
      <w:r>
        <w:rPr>
          <w:rFonts w:hint="eastAsia" w:ascii="仿宋" w:hAnsi="仿宋" w:eastAsia="仿宋" w:cs="仿宋"/>
          <w:w w:val="95"/>
          <w:kern w:val="2"/>
          <w:sz w:val="32"/>
          <w:szCs w:val="32"/>
          <w:u w:val="none"/>
          <w:lang w:val="en-US" w:eastAsia="zh-CN" w:bidi="ar-SA"/>
        </w:rPr>
        <w:t>2.5</w:t>
      </w:r>
      <w:r>
        <w:rPr>
          <w:rFonts w:hint="default" w:ascii="仿宋" w:hAnsi="仿宋" w:eastAsia="仿宋" w:cs="仿宋"/>
          <w:w w:val="95"/>
          <w:kern w:val="2"/>
          <w:sz w:val="32"/>
          <w:szCs w:val="32"/>
          <w:u w:val="none"/>
          <w:lang w:val="en-US" w:eastAsia="zh-CN" w:bidi="ar-SA"/>
        </w:rPr>
        <w:t>万元，其中因公出国（境）费支出</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万元，占“三公”经费的</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 xml:space="preserve"> %；公务用车购置及运行维护费支出</w:t>
      </w:r>
      <w:r>
        <w:rPr>
          <w:rFonts w:hint="eastAsia" w:ascii="仿宋" w:hAnsi="仿宋" w:eastAsia="仿宋" w:cs="仿宋"/>
          <w:w w:val="95"/>
          <w:kern w:val="2"/>
          <w:sz w:val="32"/>
          <w:szCs w:val="32"/>
          <w:u w:val="none"/>
          <w:lang w:val="en-US" w:eastAsia="zh-CN" w:bidi="ar-SA"/>
        </w:rPr>
        <w:t>2.5</w:t>
      </w:r>
      <w:r>
        <w:rPr>
          <w:rFonts w:hint="default" w:ascii="仿宋" w:hAnsi="仿宋" w:eastAsia="仿宋" w:cs="仿宋"/>
          <w:w w:val="95"/>
          <w:kern w:val="2"/>
          <w:sz w:val="32"/>
          <w:szCs w:val="32"/>
          <w:u w:val="none"/>
          <w:lang w:val="en-US" w:eastAsia="zh-CN" w:bidi="ar-SA"/>
        </w:rPr>
        <w:t>万元，占“三公”经费的</w:t>
      </w:r>
      <w:r>
        <w:rPr>
          <w:rFonts w:hint="eastAsia" w:ascii="仿宋" w:hAnsi="仿宋" w:eastAsia="仿宋" w:cs="仿宋"/>
          <w:w w:val="95"/>
          <w:kern w:val="2"/>
          <w:sz w:val="32"/>
          <w:szCs w:val="32"/>
          <w:u w:val="none"/>
          <w:lang w:val="en-US" w:eastAsia="zh-CN" w:bidi="ar-SA"/>
        </w:rPr>
        <w:t>100</w:t>
      </w:r>
      <w:r>
        <w:rPr>
          <w:rFonts w:hint="default" w:ascii="仿宋" w:hAnsi="仿宋" w:eastAsia="仿宋" w:cs="仿宋"/>
          <w:w w:val="95"/>
          <w:kern w:val="2"/>
          <w:sz w:val="32"/>
          <w:szCs w:val="32"/>
          <w:u w:val="none"/>
          <w:lang w:val="en-US" w:eastAsia="zh-CN" w:bidi="ar-SA"/>
        </w:rPr>
        <w:t xml:space="preserve"> %；公务接待费支出</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万元，占“三公”经费的</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%。具体情况如下：</w:t>
      </w:r>
    </w:p>
    <w:p>
      <w:pPr>
        <w:pageBreakBefore w:val="0"/>
        <w:kinsoku/>
        <w:wordWrap/>
        <w:overflowPunct/>
        <w:topLinePunct w:val="0"/>
        <w:bidi w:val="0"/>
        <w:spacing w:line="560" w:lineRule="exact"/>
        <w:ind w:left="29" w:right="96" w:firstLine="65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一般公共预算拨款安排的“三公”经费预算支出</w:t>
      </w:r>
      <w:r>
        <w:rPr>
          <w:rFonts w:hint="eastAsia" w:ascii="仿宋" w:hAnsi="仿宋" w:eastAsia="仿宋" w:cs="仿宋"/>
          <w:w w:val="95"/>
          <w:kern w:val="2"/>
          <w:sz w:val="32"/>
          <w:szCs w:val="32"/>
          <w:u w:val="none"/>
          <w:lang w:val="en-US" w:eastAsia="zh-CN" w:bidi="ar-SA"/>
        </w:rPr>
        <w:t>2.5</w:t>
      </w:r>
      <w:r>
        <w:rPr>
          <w:rFonts w:hint="default" w:ascii="仿宋" w:hAnsi="仿宋" w:eastAsia="仿宋" w:cs="仿宋"/>
          <w:w w:val="95"/>
          <w:kern w:val="2"/>
          <w:sz w:val="32"/>
          <w:szCs w:val="32"/>
          <w:u w:val="none"/>
          <w:lang w:val="en-US" w:eastAsia="zh-CN" w:bidi="ar-SA"/>
        </w:rPr>
        <w:t>万元，比上年预算增加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 xml:space="preserve"> 万元，增长</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w:t>
      </w:r>
      <w:r>
        <w:rPr>
          <w:rFonts w:hint="eastAsia" w:ascii="仿宋" w:hAnsi="仿宋" w:eastAsia="仿宋" w:cs="仿宋"/>
          <w:w w:val="95"/>
          <w:kern w:val="2"/>
          <w:sz w:val="32"/>
          <w:szCs w:val="32"/>
          <w:u w:val="none"/>
          <w:lang w:val="en-US" w:eastAsia="zh-CN" w:bidi="ar-SA"/>
        </w:rPr>
        <w:t>；</w:t>
      </w:r>
      <w:r>
        <w:rPr>
          <w:rFonts w:hint="default" w:ascii="仿宋" w:hAnsi="仿宋" w:eastAsia="仿宋" w:cs="仿宋"/>
          <w:w w:val="95"/>
          <w:kern w:val="2"/>
          <w:sz w:val="32"/>
          <w:szCs w:val="32"/>
          <w:u w:val="none"/>
          <w:lang w:val="en-US" w:eastAsia="zh-CN" w:bidi="ar-SA"/>
        </w:rPr>
        <w:t>其中：</w:t>
      </w:r>
    </w:p>
    <w:p>
      <w:pPr>
        <w:pStyle w:val="2"/>
        <w:pageBreakBefore w:val="0"/>
        <w:kinsoku/>
        <w:wordWrap/>
        <w:overflowPunct/>
        <w:topLinePunct w:val="0"/>
        <w:bidi w:val="0"/>
        <w:spacing w:after="0" w:line="560" w:lineRule="exact"/>
        <w:ind w:left="17" w:leftChars="8"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1．因公出国（境）费预算支出</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万元，比上年预算增加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万元，主要原因</w:t>
      </w:r>
      <w:r>
        <w:rPr>
          <w:rFonts w:hint="eastAsia" w:ascii="仿宋" w:hAnsi="仿宋" w:eastAsia="仿宋" w:cs="仿宋"/>
          <w:w w:val="95"/>
          <w:kern w:val="2"/>
          <w:sz w:val="32"/>
          <w:szCs w:val="32"/>
          <w:u w:val="none"/>
          <w:lang w:val="en-US" w:eastAsia="zh-CN" w:bidi="ar-SA"/>
        </w:rPr>
        <w:t>无</w:t>
      </w:r>
      <w:r>
        <w:rPr>
          <w:rFonts w:hint="default" w:ascii="仿宋" w:hAnsi="仿宋" w:eastAsia="仿宋" w:cs="仿宋"/>
          <w:w w:val="95"/>
          <w:kern w:val="2"/>
          <w:sz w:val="32"/>
          <w:szCs w:val="32"/>
          <w:u w:val="none"/>
          <w:lang w:val="en-US" w:eastAsia="zh-CN" w:bidi="ar-SA"/>
        </w:rPr>
        <w:t>因公出国（境）</w:t>
      </w:r>
      <w:r>
        <w:rPr>
          <w:rFonts w:hint="eastAsia" w:ascii="仿宋" w:hAnsi="仿宋" w:eastAsia="仿宋" w:cs="仿宋"/>
          <w:w w:val="95"/>
          <w:kern w:val="2"/>
          <w:sz w:val="32"/>
          <w:szCs w:val="32"/>
          <w:u w:val="none"/>
          <w:lang w:val="en-US" w:eastAsia="zh-CN" w:bidi="ar-SA"/>
        </w:rPr>
        <w:t>任务</w:t>
      </w:r>
      <w:r>
        <w:rPr>
          <w:rFonts w:hint="default" w:ascii="仿宋" w:hAnsi="仿宋" w:eastAsia="仿宋" w:cs="仿宋"/>
          <w:w w:val="95"/>
          <w:kern w:val="2"/>
          <w:sz w:val="32"/>
          <w:szCs w:val="32"/>
          <w:u w:val="none"/>
          <w:lang w:val="en-US" w:eastAsia="zh-CN" w:bidi="ar-SA"/>
        </w:rPr>
        <w:t>。</w:t>
      </w:r>
      <w:r>
        <w:rPr>
          <w:rFonts w:hint="default" w:ascii="仿宋" w:hAnsi="仿宋" w:eastAsia="仿宋" w:cs="仿宋"/>
          <w:w w:val="95"/>
          <w:kern w:val="2"/>
          <w:sz w:val="32"/>
          <w:szCs w:val="32"/>
          <w:u w:val="none"/>
          <w:lang w:val="en-US" w:eastAsia="zh-CN" w:bidi="ar-SA"/>
        </w:rPr>
        <w:tab/>
      </w:r>
    </w:p>
    <w:p>
      <w:pPr>
        <w:pStyle w:val="2"/>
        <w:pageBreakBefore w:val="0"/>
        <w:tabs>
          <w:tab w:val="left" w:pos="2671"/>
          <w:tab w:val="left" w:pos="5000"/>
          <w:tab w:val="left" w:pos="6190"/>
        </w:tabs>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2．公务用车购置及运行维护费预算支出</w:t>
      </w:r>
      <w:r>
        <w:rPr>
          <w:rFonts w:hint="eastAsia" w:ascii="仿宋" w:hAnsi="仿宋" w:eastAsia="仿宋" w:cs="仿宋"/>
          <w:w w:val="95"/>
          <w:kern w:val="2"/>
          <w:sz w:val="32"/>
          <w:szCs w:val="32"/>
          <w:u w:val="none"/>
          <w:lang w:val="en-US" w:eastAsia="zh-CN" w:bidi="ar-SA"/>
        </w:rPr>
        <w:t>2.5</w:t>
      </w:r>
      <w:r>
        <w:rPr>
          <w:rFonts w:hint="default" w:ascii="仿宋" w:hAnsi="仿宋" w:eastAsia="仿宋" w:cs="仿宋"/>
          <w:w w:val="95"/>
          <w:kern w:val="2"/>
          <w:sz w:val="32"/>
          <w:szCs w:val="32"/>
          <w:u w:val="none"/>
          <w:lang w:val="en-US" w:eastAsia="zh-CN" w:bidi="ar-SA"/>
        </w:rPr>
        <w:t>万元。其中：</w:t>
      </w:r>
      <w:r>
        <w:rPr>
          <w:rFonts w:hint="default" w:ascii="仿宋" w:hAnsi="仿宋" w:eastAsia="仿宋" w:cs="仿宋"/>
          <w:w w:val="95"/>
          <w:kern w:val="2"/>
          <w:sz w:val="32"/>
          <w:szCs w:val="32"/>
          <w:u w:val="none"/>
          <w:lang w:val="en-US" w:eastAsia="zh-CN" w:bidi="ar-SA"/>
        </w:rPr>
        <w:tab/>
      </w:r>
    </w:p>
    <w:p>
      <w:pPr>
        <w:pStyle w:val="2"/>
        <w:pageBreakBefore w:val="0"/>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（1）公务用车购置预算支出</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万元，比上年预算增加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万元，主要原因</w:t>
      </w:r>
      <w:r>
        <w:rPr>
          <w:rFonts w:hint="eastAsia" w:ascii="仿宋" w:hAnsi="仿宋" w:eastAsia="仿宋" w:cs="仿宋"/>
          <w:w w:val="95"/>
          <w:kern w:val="2"/>
          <w:sz w:val="32"/>
          <w:szCs w:val="32"/>
          <w:u w:val="none"/>
          <w:lang w:val="en-US" w:eastAsia="zh-CN" w:bidi="ar-SA"/>
        </w:rPr>
        <w:t>无公车购置需求</w:t>
      </w:r>
      <w:r>
        <w:rPr>
          <w:rFonts w:hint="default" w:ascii="仿宋" w:hAnsi="仿宋" w:eastAsia="仿宋" w:cs="仿宋"/>
          <w:w w:val="95"/>
          <w:kern w:val="2"/>
          <w:sz w:val="32"/>
          <w:szCs w:val="32"/>
          <w:u w:val="none"/>
          <w:lang w:val="en-US" w:eastAsia="zh-CN" w:bidi="ar-SA"/>
        </w:rPr>
        <w:t>。</w:t>
      </w:r>
    </w:p>
    <w:p>
      <w:pPr>
        <w:pStyle w:val="2"/>
        <w:pageBreakBefore w:val="0"/>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（2）公务用车运行维护费预算支出</w:t>
      </w:r>
      <w:r>
        <w:rPr>
          <w:rFonts w:hint="eastAsia" w:ascii="仿宋" w:hAnsi="仿宋" w:eastAsia="仿宋" w:cs="仿宋"/>
          <w:w w:val="95"/>
          <w:kern w:val="2"/>
          <w:sz w:val="32"/>
          <w:szCs w:val="32"/>
          <w:u w:val="none"/>
          <w:lang w:val="en-US" w:eastAsia="zh-CN" w:bidi="ar-SA"/>
        </w:rPr>
        <w:t>2.5</w:t>
      </w:r>
      <w:r>
        <w:rPr>
          <w:rFonts w:hint="default" w:ascii="仿宋" w:hAnsi="仿宋" w:eastAsia="仿宋" w:cs="仿宋"/>
          <w:w w:val="95"/>
          <w:kern w:val="2"/>
          <w:sz w:val="32"/>
          <w:szCs w:val="32"/>
          <w:u w:val="none"/>
          <w:lang w:val="en-US" w:eastAsia="zh-CN" w:bidi="ar-SA"/>
        </w:rPr>
        <w:t>万元，比上年预算增加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万元，主要原因</w:t>
      </w:r>
      <w:r>
        <w:rPr>
          <w:rFonts w:hint="eastAsia" w:ascii="仿宋" w:hAnsi="仿宋" w:eastAsia="仿宋" w:cs="仿宋"/>
          <w:w w:val="95"/>
          <w:kern w:val="2"/>
          <w:sz w:val="32"/>
          <w:szCs w:val="32"/>
          <w:u w:val="none"/>
          <w:lang w:val="en-US" w:eastAsia="zh-CN" w:bidi="ar-SA"/>
        </w:rPr>
        <w:t>支付公车运行维护费</w:t>
      </w:r>
      <w:r>
        <w:rPr>
          <w:rFonts w:hint="default" w:ascii="仿宋" w:hAnsi="仿宋" w:eastAsia="仿宋" w:cs="仿宋"/>
          <w:w w:val="95"/>
          <w:kern w:val="2"/>
          <w:sz w:val="32"/>
          <w:szCs w:val="32"/>
          <w:u w:val="none"/>
          <w:lang w:val="en-US" w:eastAsia="zh-CN" w:bidi="ar-SA"/>
        </w:rPr>
        <w:t>。</w:t>
      </w:r>
    </w:p>
    <w:p>
      <w:pPr>
        <w:pStyle w:val="2"/>
        <w:pageBreakBefore w:val="0"/>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3．公务接待费预算支出</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万元，比上年预算增加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万元，主要原因</w:t>
      </w:r>
      <w:r>
        <w:rPr>
          <w:rFonts w:hint="eastAsia" w:ascii="仿宋" w:hAnsi="仿宋" w:eastAsia="仿宋" w:cs="仿宋"/>
          <w:w w:val="95"/>
          <w:kern w:val="2"/>
          <w:sz w:val="32"/>
          <w:szCs w:val="32"/>
          <w:u w:val="none"/>
          <w:lang w:val="en-US" w:eastAsia="zh-CN" w:bidi="ar-SA"/>
        </w:rPr>
        <w:t>无公务接待任务</w:t>
      </w:r>
      <w:r>
        <w:rPr>
          <w:rFonts w:hint="default" w:ascii="仿宋" w:hAnsi="仿宋" w:eastAsia="仿宋" w:cs="仿宋"/>
          <w:w w:val="95"/>
          <w:kern w:val="2"/>
          <w:sz w:val="32"/>
          <w:szCs w:val="32"/>
          <w:u w:val="none"/>
          <w:lang w:val="en-US" w:eastAsia="zh-CN" w:bidi="ar-SA"/>
        </w:rPr>
        <w:t>。</w:t>
      </w:r>
    </w:p>
    <w:p>
      <w:pPr>
        <w:pageBreakBefore w:val="0"/>
        <w:kinsoku/>
        <w:wordWrap/>
        <w:overflowPunct/>
        <w:topLinePunct w:val="0"/>
        <w:bidi w:val="0"/>
        <w:spacing w:line="560" w:lineRule="exact"/>
        <w:ind w:firstLine="640" w:firstLineChars="200"/>
        <w:textAlignment w:val="auto"/>
        <w:outlineLvl w:val="0"/>
        <w:rPr>
          <w:rFonts w:eastAsia="黑体" w:cs="黑体"/>
          <w:b w:val="0"/>
          <w:bCs w:val="0"/>
          <w:sz w:val="32"/>
          <w:szCs w:val="36"/>
          <w:u w:val="none"/>
        </w:rPr>
      </w:pPr>
      <w:r>
        <w:rPr>
          <w:rFonts w:hint="eastAsia" w:eastAsia="黑体" w:cs="黑体"/>
          <w:b w:val="0"/>
          <w:bCs w:val="0"/>
          <w:sz w:val="32"/>
          <w:szCs w:val="36"/>
          <w:u w:val="none"/>
        </w:rPr>
        <w:t>八、政府性基金预算支出预算情况说明</w:t>
      </w:r>
    </w:p>
    <w:p>
      <w:pPr>
        <w:pStyle w:val="2"/>
        <w:pageBreakBefore w:val="0"/>
        <w:kinsoku/>
        <w:wordWrap/>
        <w:overflowPunct/>
        <w:topLinePunct w:val="0"/>
        <w:bidi w:val="0"/>
        <w:spacing w:after="0"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eastAsia" w:ascii="仿宋" w:hAnsi="仿宋" w:eastAsia="仿宋" w:cs="仿宋"/>
          <w:w w:val="95"/>
          <w:kern w:val="2"/>
          <w:sz w:val="32"/>
          <w:szCs w:val="32"/>
          <w:u w:val="none"/>
          <w:lang w:val="en-US" w:eastAsia="zh-CN" w:bidi="ar-SA"/>
        </w:rPr>
        <w:t>包头市口岸服务中心2024</w:t>
      </w:r>
      <w:r>
        <w:rPr>
          <w:rFonts w:hint="default" w:ascii="仿宋" w:hAnsi="仿宋" w:eastAsia="仿宋" w:cs="仿宋"/>
          <w:w w:val="95"/>
          <w:kern w:val="2"/>
          <w:sz w:val="32"/>
          <w:szCs w:val="32"/>
          <w:u w:val="none"/>
          <w:lang w:val="en-US" w:eastAsia="zh-CN" w:bidi="ar-SA"/>
        </w:rPr>
        <w:t>年政府性基金支出预算支出</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万元。与上年相比增加</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万元，增长</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ab/>
      </w:r>
      <w:r>
        <w:rPr>
          <w:rFonts w:hint="default" w:ascii="仿宋" w:hAnsi="仿宋" w:eastAsia="仿宋" w:cs="仿宋"/>
          <w:w w:val="95"/>
          <w:kern w:val="2"/>
          <w:sz w:val="32"/>
          <w:szCs w:val="32"/>
          <w:u w:val="none"/>
          <w:lang w:val="en-US" w:eastAsia="zh-CN" w:bidi="ar-SA"/>
        </w:rPr>
        <w:t>%。主要原因是</w:t>
      </w:r>
      <w:r>
        <w:rPr>
          <w:rFonts w:hint="eastAsia" w:ascii="仿宋" w:hAnsi="仿宋" w:eastAsia="仿宋" w:cs="仿宋"/>
          <w:w w:val="95"/>
          <w:kern w:val="2"/>
          <w:sz w:val="32"/>
          <w:szCs w:val="32"/>
          <w:u w:val="none"/>
          <w:lang w:val="en-US" w:eastAsia="zh-CN" w:bidi="ar-SA"/>
        </w:rPr>
        <w:t>本年无政府性基金预算拨款支出，以空表列示</w:t>
      </w:r>
      <w:r>
        <w:rPr>
          <w:rFonts w:hint="default" w:ascii="仿宋" w:hAnsi="仿宋" w:eastAsia="仿宋" w:cs="仿宋"/>
          <w:w w:val="95"/>
          <w:kern w:val="2"/>
          <w:sz w:val="32"/>
          <w:szCs w:val="32"/>
          <w:u w:val="none"/>
          <w:lang w:val="en-US" w:eastAsia="zh-CN" w:bidi="ar-SA"/>
        </w:rPr>
        <w:t>。</w:t>
      </w:r>
    </w:p>
    <w:p>
      <w:pPr>
        <w:pageBreakBefore w:val="0"/>
        <w:kinsoku/>
        <w:wordWrap/>
        <w:overflowPunct/>
        <w:topLinePunct w:val="0"/>
        <w:bidi w:val="0"/>
        <w:spacing w:line="560" w:lineRule="exact"/>
        <w:ind w:firstLine="640" w:firstLineChars="200"/>
        <w:textAlignment w:val="auto"/>
        <w:outlineLvl w:val="0"/>
        <w:rPr>
          <w:rFonts w:eastAsia="仿宋_GB2312" w:cstheme="minorBidi"/>
          <w:sz w:val="32"/>
          <w:szCs w:val="32"/>
          <w:highlight w:val="yellow"/>
          <w:u w:val="none"/>
        </w:rPr>
      </w:pPr>
      <w:r>
        <w:rPr>
          <w:rFonts w:hint="eastAsia" w:eastAsia="黑体" w:cs="黑体"/>
          <w:b w:val="0"/>
          <w:bCs w:val="0"/>
          <w:sz w:val="32"/>
          <w:szCs w:val="36"/>
          <w:u w:val="none"/>
        </w:rPr>
        <w:t>九、国有资本经营预算支出预算情况说明</w:t>
      </w:r>
    </w:p>
    <w:p>
      <w:pPr>
        <w:pageBreakBefore w:val="0"/>
        <w:kinsoku/>
        <w:wordWrap/>
        <w:overflowPunct/>
        <w:topLinePunct w:val="0"/>
        <w:bidi w:val="0"/>
        <w:spacing w:line="560" w:lineRule="exact"/>
        <w:ind w:firstLine="608" w:firstLineChars="200"/>
        <w:textAlignment w:val="auto"/>
        <w:rPr>
          <w:rFonts w:hint="eastAsia" w:ascii="Times New Roman" w:hAnsi="Times New Roman" w:eastAsia="仿宋_GB2312" w:cs="Times New Roman"/>
          <w:sz w:val="32"/>
          <w:szCs w:val="32"/>
          <w:u w:val="none"/>
          <w:lang w:eastAsia="zh-CN"/>
        </w:rPr>
      </w:pPr>
      <w:r>
        <w:rPr>
          <w:rFonts w:hint="eastAsia" w:ascii="仿宋" w:hAnsi="仿宋" w:eastAsia="仿宋" w:cs="仿宋"/>
          <w:w w:val="95"/>
          <w:kern w:val="2"/>
          <w:sz w:val="32"/>
          <w:szCs w:val="32"/>
          <w:u w:val="none"/>
          <w:lang w:val="en-US" w:eastAsia="zh-CN" w:bidi="ar-SA"/>
        </w:rPr>
        <w:t>包头市口岸服务中心2024年国有资本经营预算支出0万元。与上年相比增加（减少）0万元，增长（减少）0%。主要原因是年无国有资本经营预算拨款支出，以空表列示。</w:t>
      </w:r>
    </w:p>
    <w:p>
      <w:pPr>
        <w:pageBreakBefore w:val="0"/>
        <w:kinsoku/>
        <w:wordWrap/>
        <w:overflowPunct/>
        <w:topLinePunct w:val="0"/>
        <w:bidi w:val="0"/>
        <w:spacing w:line="560" w:lineRule="exact"/>
        <w:ind w:firstLine="640" w:firstLineChars="200"/>
        <w:textAlignment w:val="auto"/>
        <w:rPr>
          <w:b w:val="0"/>
          <w:bCs w:val="0"/>
          <w:i/>
          <w:iCs/>
          <w:highlight w:val="yellow"/>
          <w:u w:val="none"/>
        </w:rPr>
      </w:pPr>
      <w:r>
        <w:rPr>
          <w:rFonts w:hint="eastAsia" w:eastAsia="黑体" w:cs="黑体"/>
          <w:b w:val="0"/>
          <w:bCs w:val="0"/>
          <w:sz w:val="32"/>
          <w:szCs w:val="36"/>
          <w:u w:val="none"/>
        </w:rPr>
        <w:t>十、项目支出预算情况说明</w:t>
      </w:r>
    </w:p>
    <w:p>
      <w:pPr>
        <w:pageBreakBefore w:val="0"/>
        <w:kinsoku/>
        <w:wordWrap/>
        <w:overflowPunct/>
        <w:topLinePunct w:val="0"/>
        <w:bidi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eastAsia" w:ascii="仿宋" w:hAnsi="仿宋" w:eastAsia="仿宋" w:cs="仿宋"/>
          <w:w w:val="95"/>
          <w:kern w:val="2"/>
          <w:sz w:val="32"/>
          <w:szCs w:val="32"/>
          <w:u w:val="none"/>
          <w:lang w:val="en-US" w:eastAsia="zh-CN" w:bidi="ar-SA"/>
        </w:rPr>
        <w:t>2024</w:t>
      </w:r>
      <w:r>
        <w:rPr>
          <w:rFonts w:hint="default" w:ascii="仿宋" w:hAnsi="仿宋" w:eastAsia="仿宋" w:cs="仿宋"/>
          <w:w w:val="95"/>
          <w:kern w:val="2"/>
          <w:sz w:val="32"/>
          <w:szCs w:val="32"/>
          <w:u w:val="none"/>
          <w:lang w:val="en-US" w:eastAsia="zh-CN" w:bidi="ar-SA"/>
        </w:rPr>
        <w:t>年</w:t>
      </w:r>
      <w:r>
        <w:rPr>
          <w:rFonts w:hint="eastAsia" w:ascii="仿宋" w:hAnsi="仿宋" w:eastAsia="仿宋" w:cs="仿宋"/>
          <w:w w:val="95"/>
          <w:kern w:val="2"/>
          <w:sz w:val="32"/>
          <w:szCs w:val="32"/>
          <w:u w:val="none"/>
          <w:lang w:val="en-US" w:eastAsia="zh-CN" w:bidi="ar-SA"/>
        </w:rPr>
        <w:t>单位</w:t>
      </w:r>
      <w:r>
        <w:rPr>
          <w:rFonts w:hint="default" w:ascii="仿宋" w:hAnsi="仿宋" w:eastAsia="仿宋" w:cs="仿宋"/>
          <w:w w:val="95"/>
          <w:kern w:val="2"/>
          <w:sz w:val="32"/>
          <w:szCs w:val="32"/>
          <w:u w:val="none"/>
          <w:lang w:val="en-US" w:eastAsia="zh-CN" w:bidi="ar-SA"/>
        </w:rPr>
        <w:t>预算安排项目</w:t>
      </w:r>
      <w:r>
        <w:rPr>
          <w:rFonts w:hint="eastAsia" w:ascii="仿宋" w:hAnsi="仿宋" w:eastAsia="仿宋" w:cs="仿宋"/>
          <w:w w:val="95"/>
          <w:kern w:val="2"/>
          <w:sz w:val="32"/>
          <w:szCs w:val="32"/>
          <w:highlight w:val="none"/>
          <w:u w:val="none"/>
          <w:lang w:val="en-US" w:eastAsia="zh-CN" w:bidi="ar-SA"/>
        </w:rPr>
        <w:t>7</w:t>
      </w:r>
      <w:r>
        <w:rPr>
          <w:rFonts w:hint="default" w:ascii="仿宋" w:hAnsi="仿宋" w:eastAsia="仿宋" w:cs="仿宋"/>
          <w:w w:val="95"/>
          <w:kern w:val="2"/>
          <w:sz w:val="32"/>
          <w:szCs w:val="32"/>
          <w:highlight w:val="none"/>
          <w:u w:val="none"/>
          <w:lang w:val="en-US" w:eastAsia="zh-CN" w:bidi="ar-SA"/>
        </w:rPr>
        <w:t>个</w:t>
      </w:r>
      <w:r>
        <w:rPr>
          <w:rFonts w:hint="default" w:ascii="仿宋" w:hAnsi="仿宋" w:eastAsia="仿宋" w:cs="仿宋"/>
          <w:w w:val="95"/>
          <w:kern w:val="2"/>
          <w:sz w:val="32"/>
          <w:szCs w:val="32"/>
          <w:u w:val="none"/>
          <w:lang w:val="en-US" w:eastAsia="zh-CN" w:bidi="ar-SA"/>
        </w:rPr>
        <w:t>，项目预算总金额</w:t>
      </w:r>
      <w:r>
        <w:rPr>
          <w:rFonts w:hint="eastAsia" w:ascii="仿宋" w:hAnsi="仿宋" w:eastAsia="仿宋" w:cs="仿宋"/>
          <w:w w:val="95"/>
          <w:kern w:val="2"/>
          <w:sz w:val="32"/>
          <w:szCs w:val="32"/>
          <w:u w:val="none"/>
          <w:lang w:val="en-US" w:eastAsia="zh-CN" w:bidi="ar-SA"/>
        </w:rPr>
        <w:t>300.28</w:t>
      </w:r>
      <w:r>
        <w:rPr>
          <w:rFonts w:hint="default" w:ascii="仿宋" w:hAnsi="仿宋" w:eastAsia="仿宋" w:cs="仿宋"/>
          <w:w w:val="95"/>
          <w:kern w:val="2"/>
          <w:sz w:val="32"/>
          <w:szCs w:val="32"/>
          <w:u w:val="none"/>
          <w:lang w:val="en-US" w:eastAsia="zh-CN" w:bidi="ar-SA"/>
        </w:rPr>
        <w:t>万元。其中，财政本年拨款金额</w:t>
      </w:r>
      <w:r>
        <w:rPr>
          <w:rFonts w:hint="eastAsia" w:ascii="仿宋" w:hAnsi="仿宋" w:eastAsia="仿宋" w:cs="仿宋"/>
          <w:w w:val="95"/>
          <w:kern w:val="2"/>
          <w:sz w:val="32"/>
          <w:szCs w:val="32"/>
          <w:u w:val="none"/>
          <w:lang w:val="en-US" w:eastAsia="zh-CN" w:bidi="ar-SA"/>
        </w:rPr>
        <w:t>135</w:t>
      </w:r>
      <w:r>
        <w:rPr>
          <w:rFonts w:hint="default" w:ascii="仿宋" w:hAnsi="仿宋" w:eastAsia="仿宋" w:cs="仿宋"/>
          <w:w w:val="95"/>
          <w:kern w:val="2"/>
          <w:sz w:val="32"/>
          <w:szCs w:val="32"/>
          <w:u w:val="none"/>
          <w:lang w:val="en-US" w:eastAsia="zh-CN" w:bidi="ar-SA"/>
        </w:rPr>
        <w:t>万元，财政拨款结转结余</w:t>
      </w:r>
      <w:r>
        <w:rPr>
          <w:rFonts w:hint="eastAsia" w:ascii="仿宋" w:hAnsi="仿宋" w:eastAsia="仿宋" w:cs="仿宋"/>
          <w:w w:val="95"/>
          <w:kern w:val="2"/>
          <w:sz w:val="32"/>
          <w:szCs w:val="32"/>
          <w:u w:val="none"/>
          <w:lang w:val="en-US" w:eastAsia="zh-CN" w:bidi="ar-SA"/>
        </w:rPr>
        <w:t>165.28</w:t>
      </w:r>
      <w:r>
        <w:rPr>
          <w:rFonts w:hint="default" w:ascii="仿宋" w:hAnsi="仿宋" w:eastAsia="仿宋" w:cs="仿宋"/>
          <w:w w:val="95"/>
          <w:kern w:val="2"/>
          <w:sz w:val="32"/>
          <w:szCs w:val="32"/>
          <w:u w:val="none"/>
          <w:lang w:val="en-US" w:eastAsia="zh-CN" w:bidi="ar-SA"/>
        </w:rPr>
        <w:t>万元，财政专户管理资金</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万元，单位资金</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w:t>
      </w:r>
    </w:p>
    <w:p>
      <w:pPr>
        <w:pageBreakBefore w:val="0"/>
        <w:kinsoku/>
        <w:wordWrap/>
        <w:overflowPunct/>
        <w:topLinePunct w:val="0"/>
        <w:bidi w:val="0"/>
        <w:spacing w:line="560" w:lineRule="exact"/>
        <w:ind w:firstLine="643" w:firstLineChars="200"/>
        <w:textAlignment w:val="auto"/>
        <w:rPr>
          <w:rFonts w:hint="default" w:ascii="楷体" w:hAnsi="楷体" w:eastAsia="楷体" w:cs="楷体"/>
          <w:b/>
          <w:bCs/>
          <w:kern w:val="2"/>
          <w:sz w:val="32"/>
          <w:szCs w:val="32"/>
          <w:u w:val="none"/>
          <w:lang w:val="en-US" w:eastAsia="zh-CN" w:bidi="ar-SA"/>
        </w:rPr>
      </w:pPr>
      <w:r>
        <w:rPr>
          <w:rFonts w:hint="default" w:ascii="楷体" w:hAnsi="楷体" w:eastAsia="楷体" w:cs="楷体"/>
          <w:b/>
          <w:bCs/>
          <w:kern w:val="2"/>
          <w:sz w:val="32"/>
          <w:szCs w:val="32"/>
          <w:u w:val="none"/>
          <w:lang w:val="en-US" w:eastAsia="zh-CN" w:bidi="ar-SA"/>
        </w:rPr>
        <w:t>(一) 口岸通勤车</w:t>
      </w:r>
      <w:r>
        <w:rPr>
          <w:rFonts w:hint="eastAsia" w:ascii="楷体" w:hAnsi="楷体" w:eastAsia="楷体" w:cs="楷体"/>
          <w:b/>
          <w:bCs/>
          <w:kern w:val="2"/>
          <w:sz w:val="32"/>
          <w:szCs w:val="32"/>
          <w:u w:val="none"/>
          <w:lang w:val="en-US" w:eastAsia="zh-CN" w:bidi="ar-SA"/>
        </w:rPr>
        <w:t>服务</w:t>
      </w:r>
      <w:r>
        <w:rPr>
          <w:rFonts w:hint="default" w:ascii="楷体" w:hAnsi="楷体" w:eastAsia="楷体" w:cs="楷体"/>
          <w:b/>
          <w:bCs/>
          <w:kern w:val="2"/>
          <w:sz w:val="32"/>
          <w:szCs w:val="32"/>
          <w:u w:val="none"/>
          <w:lang w:val="en-US" w:eastAsia="zh-CN" w:bidi="ar-SA"/>
        </w:rPr>
        <w:t>项目</w:t>
      </w:r>
    </w:p>
    <w:p>
      <w:pPr>
        <w:pageBreakBefore w:val="0"/>
        <w:kinsoku/>
        <w:wordWrap/>
        <w:overflowPunct/>
        <w:topLinePunct w:val="0"/>
        <w:bidi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1.项目概述</w:t>
      </w:r>
    </w:p>
    <w:p>
      <w:pPr>
        <w:pageBreakBefore w:val="0"/>
        <w:kinsoku/>
        <w:wordWrap/>
        <w:overflowPunct/>
        <w:topLinePunct w:val="0"/>
        <w:bidi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本项目主要用于 202</w:t>
      </w:r>
      <w:r>
        <w:rPr>
          <w:rFonts w:hint="eastAsia" w:ascii="仿宋" w:hAnsi="仿宋" w:eastAsia="仿宋" w:cs="仿宋"/>
          <w:w w:val="95"/>
          <w:kern w:val="2"/>
          <w:sz w:val="32"/>
          <w:szCs w:val="32"/>
          <w:u w:val="none"/>
          <w:lang w:val="en-US" w:eastAsia="zh-CN" w:bidi="ar-SA"/>
        </w:rPr>
        <w:t>4</w:t>
      </w:r>
      <w:r>
        <w:rPr>
          <w:rFonts w:hint="default" w:ascii="仿宋" w:hAnsi="仿宋" w:eastAsia="仿宋" w:cs="仿宋"/>
          <w:w w:val="95"/>
          <w:kern w:val="2"/>
          <w:sz w:val="32"/>
          <w:szCs w:val="32"/>
          <w:u w:val="none"/>
          <w:lang w:val="en-US" w:eastAsia="zh-CN" w:bidi="ar-SA"/>
        </w:rPr>
        <w:t>年满都拉口岸通勤车。</w:t>
      </w:r>
    </w:p>
    <w:p>
      <w:pPr>
        <w:pageBreakBefore w:val="0"/>
        <w:kinsoku/>
        <w:wordWrap/>
        <w:overflowPunct/>
        <w:topLinePunct w:val="0"/>
        <w:bidi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2.立项依据</w:t>
      </w:r>
    </w:p>
    <w:p>
      <w:pPr>
        <w:pageBreakBefore w:val="0"/>
        <w:kinsoku/>
        <w:wordWrap/>
        <w:overflowPunct/>
        <w:topLinePunct w:val="0"/>
        <w:bidi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根据《关于下达 2020 年商贸、供销事务专项资金的通知》 (包财贸</w:t>
      </w:r>
      <w:r>
        <w:rPr>
          <w:rFonts w:hint="eastAsia" w:ascii="仿宋" w:hAnsi="仿宋" w:eastAsia="仿宋" w:cs="仿宋"/>
          <w:w w:val="95"/>
          <w:kern w:val="2"/>
          <w:sz w:val="32"/>
          <w:szCs w:val="32"/>
          <w:u w:val="none"/>
          <w:lang w:val="en-US" w:eastAsia="zh-CN" w:bidi="ar-SA"/>
        </w:rPr>
        <w:t>〔</w:t>
      </w:r>
      <w:r>
        <w:rPr>
          <w:rFonts w:hint="default" w:ascii="仿宋" w:hAnsi="仿宋" w:eastAsia="仿宋" w:cs="仿宋"/>
          <w:w w:val="95"/>
          <w:kern w:val="2"/>
          <w:sz w:val="32"/>
          <w:szCs w:val="32"/>
          <w:u w:val="none"/>
          <w:lang w:val="en-US" w:eastAsia="zh-CN" w:bidi="ar-SA"/>
        </w:rPr>
        <w:t>2020</w:t>
      </w:r>
      <w:r>
        <w:rPr>
          <w:rFonts w:hint="eastAsia" w:ascii="仿宋" w:hAnsi="仿宋" w:eastAsia="仿宋" w:cs="仿宋"/>
          <w:w w:val="95"/>
          <w:kern w:val="2"/>
          <w:sz w:val="32"/>
          <w:szCs w:val="32"/>
          <w:u w:val="none"/>
          <w:lang w:val="en-US" w:eastAsia="zh-CN" w:bidi="ar-SA"/>
        </w:rPr>
        <w:t>〕</w:t>
      </w:r>
      <w:r>
        <w:rPr>
          <w:rFonts w:hint="default" w:ascii="仿宋" w:hAnsi="仿宋" w:eastAsia="仿宋" w:cs="仿宋"/>
          <w:w w:val="95"/>
          <w:kern w:val="2"/>
          <w:sz w:val="32"/>
          <w:szCs w:val="32"/>
          <w:u w:val="none"/>
          <w:lang w:val="en-US" w:eastAsia="zh-CN" w:bidi="ar-SA"/>
        </w:rPr>
        <w:t>278 号 ) ，下达 55 万专项资金用于满都拉口岸通勤车。</w:t>
      </w:r>
    </w:p>
    <w:p>
      <w:pPr>
        <w:pageBreakBefore w:val="0"/>
        <w:kinsoku/>
        <w:wordWrap/>
        <w:overflowPunct/>
        <w:topLinePunct w:val="0"/>
        <w:bidi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3.实施主体</w:t>
      </w:r>
    </w:p>
    <w:p>
      <w:pPr>
        <w:pageBreakBefore w:val="0"/>
        <w:kinsoku/>
        <w:wordWrap/>
        <w:overflowPunct/>
        <w:topLinePunct w:val="0"/>
        <w:bidi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包头市口岸服务中心</w:t>
      </w:r>
    </w:p>
    <w:p>
      <w:pPr>
        <w:pageBreakBefore w:val="0"/>
        <w:kinsoku/>
        <w:wordWrap/>
        <w:overflowPunct/>
        <w:topLinePunct w:val="0"/>
        <w:bidi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4.实施方案</w:t>
      </w:r>
    </w:p>
    <w:p>
      <w:pPr>
        <w:pageBreakBefore w:val="0"/>
        <w:kinsoku/>
        <w:wordWrap/>
        <w:overflowPunct/>
        <w:topLinePunct w:val="0"/>
        <w:bidi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根据市场价格，确定往返口岸通勤车</w:t>
      </w:r>
      <w:r>
        <w:rPr>
          <w:rFonts w:hint="eastAsia" w:ascii="仿宋" w:hAnsi="仿宋" w:eastAsia="仿宋" w:cs="仿宋"/>
          <w:w w:val="95"/>
          <w:kern w:val="2"/>
          <w:sz w:val="32"/>
          <w:szCs w:val="32"/>
          <w:u w:val="none"/>
          <w:lang w:val="en-US" w:eastAsia="zh-CN" w:bidi="ar-SA"/>
        </w:rPr>
        <w:t>2815</w:t>
      </w:r>
      <w:r>
        <w:rPr>
          <w:rFonts w:hint="default" w:ascii="仿宋" w:hAnsi="仿宋" w:eastAsia="仿宋" w:cs="仿宋"/>
          <w:w w:val="95"/>
          <w:kern w:val="2"/>
          <w:sz w:val="32"/>
          <w:szCs w:val="32"/>
          <w:u w:val="none"/>
          <w:lang w:val="en-US" w:eastAsia="zh-CN" w:bidi="ar-SA"/>
        </w:rPr>
        <w:t>元/趟，按实际趟数结算。</w:t>
      </w:r>
    </w:p>
    <w:p>
      <w:pPr>
        <w:pageBreakBefore w:val="0"/>
        <w:kinsoku/>
        <w:wordWrap/>
        <w:overflowPunct/>
        <w:topLinePunct w:val="0"/>
        <w:bidi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5.实施周期</w:t>
      </w:r>
    </w:p>
    <w:p>
      <w:pPr>
        <w:pageBreakBefore w:val="0"/>
        <w:kinsoku/>
        <w:wordWrap/>
        <w:overflowPunct/>
        <w:topLinePunct w:val="0"/>
        <w:bidi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自 202</w:t>
      </w:r>
      <w:r>
        <w:rPr>
          <w:rFonts w:hint="eastAsia" w:ascii="仿宋" w:hAnsi="仿宋" w:eastAsia="仿宋" w:cs="仿宋"/>
          <w:w w:val="95"/>
          <w:kern w:val="2"/>
          <w:sz w:val="32"/>
          <w:szCs w:val="32"/>
          <w:u w:val="none"/>
          <w:lang w:val="en-US" w:eastAsia="zh-CN" w:bidi="ar-SA"/>
        </w:rPr>
        <w:t>4</w:t>
      </w:r>
      <w:r>
        <w:rPr>
          <w:rFonts w:hint="default" w:ascii="仿宋" w:hAnsi="仿宋" w:eastAsia="仿宋" w:cs="仿宋"/>
          <w:w w:val="95"/>
          <w:kern w:val="2"/>
          <w:sz w:val="32"/>
          <w:szCs w:val="32"/>
          <w:u w:val="none"/>
          <w:lang w:val="en-US" w:eastAsia="zh-CN" w:bidi="ar-SA"/>
        </w:rPr>
        <w:t xml:space="preserve"> 年 1 月 1 日至 202</w:t>
      </w:r>
      <w:r>
        <w:rPr>
          <w:rFonts w:hint="eastAsia" w:ascii="仿宋" w:hAnsi="仿宋" w:eastAsia="仿宋" w:cs="仿宋"/>
          <w:w w:val="95"/>
          <w:kern w:val="2"/>
          <w:sz w:val="32"/>
          <w:szCs w:val="32"/>
          <w:u w:val="none"/>
          <w:lang w:val="en-US" w:eastAsia="zh-CN" w:bidi="ar-SA"/>
        </w:rPr>
        <w:t>4</w:t>
      </w:r>
      <w:r>
        <w:rPr>
          <w:rFonts w:hint="default" w:ascii="仿宋" w:hAnsi="仿宋" w:eastAsia="仿宋" w:cs="仿宋"/>
          <w:w w:val="95"/>
          <w:kern w:val="2"/>
          <w:sz w:val="32"/>
          <w:szCs w:val="32"/>
          <w:u w:val="none"/>
          <w:lang w:val="en-US" w:eastAsia="zh-CN" w:bidi="ar-SA"/>
        </w:rPr>
        <w:t>年 12 月 31 日。</w:t>
      </w:r>
    </w:p>
    <w:p>
      <w:pPr>
        <w:pageBreakBefore w:val="0"/>
        <w:kinsoku/>
        <w:wordWrap/>
        <w:overflowPunct/>
        <w:topLinePunct w:val="0"/>
        <w:bidi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6.年度预算安排</w:t>
      </w:r>
      <w:r>
        <w:rPr>
          <w:rFonts w:hint="default" w:ascii="仿宋" w:hAnsi="仿宋" w:eastAsia="仿宋" w:cs="仿宋"/>
          <w:w w:val="95"/>
          <w:kern w:val="2"/>
          <w:sz w:val="32"/>
          <w:szCs w:val="32"/>
          <w:u w:val="none"/>
          <w:lang w:val="en-US" w:eastAsia="zh-CN" w:bidi="ar-SA"/>
        </w:rPr>
        <mc:AlternateContent>
          <mc:Choice Requires="wps">
            <w:drawing>
              <wp:anchor distT="0" distB="0" distL="114300" distR="114300" simplePos="0" relativeHeight="251659264" behindDoc="0" locked="0" layoutInCell="0" allowOverlap="1">
                <wp:simplePos x="0" y="0"/>
                <wp:positionH relativeFrom="page">
                  <wp:posOffset>1008380</wp:posOffset>
                </wp:positionH>
                <wp:positionV relativeFrom="page">
                  <wp:posOffset>7339330</wp:posOffset>
                </wp:positionV>
                <wp:extent cx="5544185" cy="6350"/>
                <wp:effectExtent l="0" t="0" r="0" b="0"/>
                <wp:wrapNone/>
                <wp:docPr id="1" name="任意多边形 1"/>
                <wp:cNvGraphicFramePr/>
                <a:graphic xmlns:a="http://schemas.openxmlformats.org/drawingml/2006/main">
                  <a:graphicData uri="http://schemas.microsoft.com/office/word/2010/wordprocessingShape">
                    <wps:wsp>
                      <wps:cNvSpPr/>
                      <wps:spPr>
                        <a:xfrm>
                          <a:off x="0" y="0"/>
                          <a:ext cx="5544185" cy="6350"/>
                        </a:xfrm>
                        <a:custGeom>
                          <a:avLst/>
                          <a:gdLst/>
                          <a:ahLst/>
                          <a:cxnLst/>
                          <a:pathLst>
                            <a:path w="8730" h="10">
                              <a:moveTo>
                                <a:pt x="0" y="0"/>
                              </a:moveTo>
                              <a:lnTo>
                                <a:pt x="8730" y="0"/>
                              </a:lnTo>
                              <a:lnTo>
                                <a:pt x="8730" y="9"/>
                              </a:lnTo>
                              <a:lnTo>
                                <a:pt x="0" y="9"/>
                              </a:lnTo>
                              <a:lnTo>
                                <a:pt x="0" y="0"/>
                              </a:lnTo>
                              <a:close/>
                            </a:path>
                          </a:pathLst>
                        </a:custGeom>
                        <a:solidFill>
                          <a:srgbClr val="FFFFFF"/>
                        </a:solidFill>
                        <a:ln>
                          <a:noFill/>
                        </a:ln>
                      </wps:spPr>
                      <wps:bodyPr upright="1"/>
                    </wps:wsp>
                  </a:graphicData>
                </a:graphic>
              </wp:anchor>
            </w:drawing>
          </mc:Choice>
          <mc:Fallback>
            <w:pict>
              <v:shape id="_x0000_s1026" o:spid="_x0000_s1026" o:spt="100" style="position:absolute;left:0pt;margin-left:79.4pt;margin-top:577.9pt;height:0.5pt;width:436.55pt;mso-position-horizontal-relative:page;mso-position-vertical-relative:page;z-index:251659264;mso-width-relative:page;mso-height-relative:page;" fillcolor="#FFFFFF" filled="t" stroked="f" coordsize="8730,10" o:allowincell="f" o:gfxdata="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9PRsB2QAAAA4BAAAPAAAAAAAAAAEA&#10;IAAAACIAAABkcnMvZG93bnJldi54bWxQSwECFAAUAAAACACHTuJAX+qiNw4CAAB5BAAADgAAAAAA&#10;AAABACAAAAAoAQAAZHJzL2Uyb0RvYy54bWxQSwUGAAAAAAYABgBZAQAAqAUAAAAA&#10;" path="m0,0l8730,0,8730,9,0,9,0,0xe">
                <v:fill on="t" focussize="0,0"/>
                <v:stroke on="f"/>
                <v:imagedata o:title=""/>
                <o:lock v:ext="edit" aspectratio="f"/>
              </v:shape>
            </w:pict>
          </mc:Fallback>
        </mc:AlternateContent>
      </w:r>
    </w:p>
    <w:p>
      <w:pPr>
        <w:pageBreakBefore w:val="0"/>
        <w:kinsoku/>
        <w:wordWrap/>
        <w:overflowPunct/>
        <w:topLinePunct w:val="0"/>
        <w:bidi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202</w:t>
      </w:r>
      <w:r>
        <w:rPr>
          <w:rFonts w:hint="eastAsia" w:ascii="仿宋" w:hAnsi="仿宋" w:eastAsia="仿宋" w:cs="仿宋"/>
          <w:w w:val="95"/>
          <w:kern w:val="2"/>
          <w:sz w:val="32"/>
          <w:szCs w:val="32"/>
          <w:u w:val="none"/>
          <w:lang w:val="en-US" w:eastAsia="zh-CN" w:bidi="ar-SA"/>
        </w:rPr>
        <w:t>4</w:t>
      </w:r>
      <w:r>
        <w:rPr>
          <w:rFonts w:hint="default" w:ascii="仿宋" w:hAnsi="仿宋" w:eastAsia="仿宋" w:cs="仿宋"/>
          <w:w w:val="95"/>
          <w:kern w:val="2"/>
          <w:sz w:val="32"/>
          <w:szCs w:val="32"/>
          <w:u w:val="none"/>
          <w:lang w:val="en-US" w:eastAsia="zh-CN" w:bidi="ar-SA"/>
        </w:rPr>
        <w:t xml:space="preserve"> 年该项目预算 55 万元。</w:t>
      </w:r>
    </w:p>
    <w:p>
      <w:pPr>
        <w:pageBreakBefore w:val="0"/>
        <w:kinsoku/>
        <w:wordWrap/>
        <w:overflowPunct/>
        <w:topLinePunct w:val="0"/>
        <w:bidi w:val="0"/>
        <w:spacing w:line="560" w:lineRule="exact"/>
        <w:ind w:firstLine="643" w:firstLineChars="200"/>
        <w:textAlignment w:val="auto"/>
        <w:rPr>
          <w:rFonts w:hint="default" w:ascii="楷体" w:hAnsi="楷体" w:eastAsia="楷体" w:cs="楷体"/>
          <w:b/>
          <w:bCs/>
          <w:kern w:val="2"/>
          <w:sz w:val="32"/>
          <w:szCs w:val="32"/>
          <w:u w:val="none"/>
          <w:lang w:val="en-US" w:eastAsia="zh-CN" w:bidi="ar-SA"/>
        </w:rPr>
      </w:pPr>
      <w:r>
        <w:rPr>
          <w:rFonts w:hint="default" w:ascii="楷体" w:hAnsi="楷体" w:eastAsia="楷体" w:cs="楷体"/>
          <w:b/>
          <w:bCs/>
          <w:kern w:val="2"/>
          <w:sz w:val="32"/>
          <w:szCs w:val="32"/>
          <w:u w:val="none"/>
          <w:lang w:val="en-US" w:eastAsia="zh-CN" w:bidi="ar-SA"/>
        </w:rPr>
        <w:t>(二) 航空口岸后勤保障经费项目</w:t>
      </w:r>
    </w:p>
    <w:p>
      <w:pPr>
        <w:pageBreakBefore w:val="0"/>
        <w:kinsoku/>
        <w:wordWrap/>
        <w:overflowPunct/>
        <w:topLinePunct w:val="0"/>
        <w:bidi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1.项目概述</w:t>
      </w:r>
    </w:p>
    <w:p>
      <w:pPr>
        <w:pageBreakBefore w:val="0"/>
        <w:kinsoku/>
        <w:wordWrap/>
        <w:overflowPunct/>
        <w:topLinePunct w:val="0"/>
        <w:bidi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本项目主要用于 202</w:t>
      </w:r>
      <w:r>
        <w:rPr>
          <w:rFonts w:hint="eastAsia" w:ascii="仿宋" w:hAnsi="仿宋" w:eastAsia="仿宋" w:cs="仿宋"/>
          <w:w w:val="95"/>
          <w:kern w:val="2"/>
          <w:sz w:val="32"/>
          <w:szCs w:val="32"/>
          <w:u w:val="none"/>
          <w:lang w:val="en-US" w:eastAsia="zh-CN" w:bidi="ar-SA"/>
        </w:rPr>
        <w:t>4</w:t>
      </w:r>
      <w:r>
        <w:rPr>
          <w:rFonts w:hint="default" w:ascii="仿宋" w:hAnsi="仿宋" w:eastAsia="仿宋" w:cs="仿宋"/>
          <w:w w:val="95"/>
          <w:kern w:val="2"/>
          <w:sz w:val="32"/>
          <w:szCs w:val="32"/>
          <w:u w:val="none"/>
          <w:lang w:val="en-US" w:eastAsia="zh-CN" w:bidi="ar-SA"/>
        </w:rPr>
        <w:t xml:space="preserve"> 年航空口岸后勤保障经费。</w:t>
      </w:r>
    </w:p>
    <w:p>
      <w:pPr>
        <w:pageBreakBefore w:val="0"/>
        <w:kinsoku/>
        <w:wordWrap/>
        <w:overflowPunct/>
        <w:topLinePunct w:val="0"/>
        <w:bidi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2.立项依据</w:t>
      </w:r>
    </w:p>
    <w:p>
      <w:pPr>
        <w:pageBreakBefore w:val="0"/>
        <w:kinsoku/>
        <w:wordWrap/>
        <w:overflowPunct/>
        <w:topLinePunct w:val="0"/>
        <w:bidi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根据《关于将航空口岸联检单位后勤保障经费列入2019年预算的请示》 (包商务口岸字</w:t>
      </w:r>
      <w:r>
        <w:rPr>
          <w:rFonts w:hint="eastAsia" w:ascii="仿宋" w:hAnsi="仿宋" w:eastAsia="仿宋" w:cs="仿宋"/>
          <w:w w:val="95"/>
          <w:kern w:val="2"/>
          <w:sz w:val="32"/>
          <w:szCs w:val="32"/>
          <w:u w:val="none"/>
          <w:lang w:val="en-US" w:eastAsia="zh-CN" w:bidi="ar-SA"/>
        </w:rPr>
        <w:t>〔</w:t>
      </w:r>
      <w:r>
        <w:rPr>
          <w:rFonts w:hint="default" w:ascii="仿宋" w:hAnsi="仿宋" w:eastAsia="仿宋" w:cs="仿宋"/>
          <w:w w:val="95"/>
          <w:kern w:val="2"/>
          <w:sz w:val="32"/>
          <w:szCs w:val="32"/>
          <w:u w:val="none"/>
          <w:lang w:val="en-US" w:eastAsia="zh-CN" w:bidi="ar-SA"/>
        </w:rPr>
        <w:t>2018</w:t>
      </w:r>
      <w:r>
        <w:rPr>
          <w:rFonts w:hint="eastAsia" w:ascii="仿宋" w:hAnsi="仿宋" w:eastAsia="仿宋" w:cs="仿宋"/>
          <w:w w:val="95"/>
          <w:kern w:val="2"/>
          <w:sz w:val="32"/>
          <w:szCs w:val="32"/>
          <w:u w:val="none"/>
          <w:lang w:val="en-US" w:eastAsia="zh-CN" w:bidi="ar-SA"/>
        </w:rPr>
        <w:t>〕</w:t>
      </w:r>
      <w:r>
        <w:rPr>
          <w:rFonts w:hint="default" w:ascii="仿宋" w:hAnsi="仿宋" w:eastAsia="仿宋" w:cs="仿宋"/>
          <w:w w:val="95"/>
          <w:kern w:val="2"/>
          <w:sz w:val="32"/>
          <w:szCs w:val="32"/>
          <w:u w:val="none"/>
          <w:lang w:val="en-US" w:eastAsia="zh-CN" w:bidi="ar-SA"/>
        </w:rPr>
        <w:t>189 号 ) ，领导批示100万元用于航空口岸联检单位后勤保障经费。</w:t>
      </w:r>
    </w:p>
    <w:p>
      <w:pPr>
        <w:pageBreakBefore w:val="0"/>
        <w:kinsoku/>
        <w:wordWrap/>
        <w:overflowPunct/>
        <w:topLinePunct w:val="0"/>
        <w:bidi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3.实施主体</w:t>
      </w:r>
    </w:p>
    <w:p>
      <w:pPr>
        <w:pageBreakBefore w:val="0"/>
        <w:kinsoku/>
        <w:wordWrap/>
        <w:overflowPunct/>
        <w:topLinePunct w:val="0"/>
        <w:bidi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包头市口岸服务中心</w:t>
      </w:r>
    </w:p>
    <w:p>
      <w:pPr>
        <w:pageBreakBefore w:val="0"/>
        <w:kinsoku/>
        <w:wordWrap/>
        <w:overflowPunct/>
        <w:topLinePunct w:val="0"/>
        <w:bidi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4.实施方案</w:t>
      </w:r>
    </w:p>
    <w:p>
      <w:pPr>
        <w:pageBreakBefore w:val="0"/>
        <w:kinsoku/>
        <w:wordWrap/>
        <w:overflowPunct/>
        <w:topLinePunct w:val="0"/>
        <w:bidi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本项目主要用于 202</w:t>
      </w:r>
      <w:r>
        <w:rPr>
          <w:rFonts w:hint="eastAsia" w:ascii="仿宋" w:hAnsi="仿宋" w:eastAsia="仿宋" w:cs="仿宋"/>
          <w:w w:val="95"/>
          <w:kern w:val="2"/>
          <w:sz w:val="32"/>
          <w:szCs w:val="32"/>
          <w:u w:val="none"/>
          <w:lang w:val="en-US" w:eastAsia="zh-CN" w:bidi="ar-SA"/>
        </w:rPr>
        <w:t>4</w:t>
      </w:r>
      <w:r>
        <w:rPr>
          <w:rFonts w:hint="default" w:ascii="仿宋" w:hAnsi="仿宋" w:eastAsia="仿宋" w:cs="仿宋"/>
          <w:w w:val="95"/>
          <w:kern w:val="2"/>
          <w:sz w:val="32"/>
          <w:szCs w:val="32"/>
          <w:u w:val="none"/>
          <w:lang w:val="en-US" w:eastAsia="zh-CN" w:bidi="ar-SA"/>
        </w:rPr>
        <w:t xml:space="preserve"> 年航空口岸后勤保障经费，用于支付协勤人员工资。</w:t>
      </w:r>
    </w:p>
    <w:p>
      <w:pPr>
        <w:pageBreakBefore w:val="0"/>
        <w:kinsoku/>
        <w:wordWrap/>
        <w:overflowPunct/>
        <w:topLinePunct w:val="0"/>
        <w:bidi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5.实施周期</w:t>
      </w:r>
    </w:p>
    <w:p>
      <w:pPr>
        <w:pageBreakBefore w:val="0"/>
        <w:kinsoku/>
        <w:wordWrap/>
        <w:overflowPunct/>
        <w:topLinePunct w:val="0"/>
        <w:bidi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自 202</w:t>
      </w:r>
      <w:r>
        <w:rPr>
          <w:rFonts w:hint="eastAsia" w:ascii="仿宋" w:hAnsi="仿宋" w:eastAsia="仿宋" w:cs="仿宋"/>
          <w:w w:val="95"/>
          <w:kern w:val="2"/>
          <w:sz w:val="32"/>
          <w:szCs w:val="32"/>
          <w:u w:val="none"/>
          <w:lang w:val="en-US" w:eastAsia="zh-CN" w:bidi="ar-SA"/>
        </w:rPr>
        <w:t>4</w:t>
      </w:r>
      <w:r>
        <w:rPr>
          <w:rFonts w:hint="default" w:ascii="仿宋" w:hAnsi="仿宋" w:eastAsia="仿宋" w:cs="仿宋"/>
          <w:w w:val="95"/>
          <w:kern w:val="2"/>
          <w:sz w:val="32"/>
          <w:szCs w:val="32"/>
          <w:u w:val="none"/>
          <w:lang w:val="en-US" w:eastAsia="zh-CN" w:bidi="ar-SA"/>
        </w:rPr>
        <w:t xml:space="preserve"> 年 1 月 1 日至 202</w:t>
      </w:r>
      <w:r>
        <w:rPr>
          <w:rFonts w:hint="eastAsia" w:ascii="仿宋" w:hAnsi="仿宋" w:eastAsia="仿宋" w:cs="仿宋"/>
          <w:w w:val="95"/>
          <w:kern w:val="2"/>
          <w:sz w:val="32"/>
          <w:szCs w:val="32"/>
          <w:u w:val="none"/>
          <w:lang w:val="en-US" w:eastAsia="zh-CN" w:bidi="ar-SA"/>
        </w:rPr>
        <w:t>4</w:t>
      </w:r>
      <w:r>
        <w:rPr>
          <w:rFonts w:hint="default" w:ascii="仿宋" w:hAnsi="仿宋" w:eastAsia="仿宋" w:cs="仿宋"/>
          <w:w w:val="95"/>
          <w:kern w:val="2"/>
          <w:sz w:val="32"/>
          <w:szCs w:val="32"/>
          <w:u w:val="none"/>
          <w:lang w:val="en-US" w:eastAsia="zh-CN" w:bidi="ar-SA"/>
        </w:rPr>
        <w:t xml:space="preserve"> 年 12 月 31 日。</w:t>
      </w:r>
    </w:p>
    <w:p>
      <w:pPr>
        <w:pageBreakBefore w:val="0"/>
        <w:kinsoku/>
        <w:wordWrap/>
        <w:overflowPunct/>
        <w:topLinePunct w:val="0"/>
        <w:bidi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6.年度预算安排</w:t>
      </w:r>
    </w:p>
    <w:p>
      <w:pPr>
        <w:pageBreakBefore w:val="0"/>
        <w:kinsoku/>
        <w:wordWrap/>
        <w:overflowPunct/>
        <w:topLinePunct w:val="0"/>
        <w:bidi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202</w:t>
      </w:r>
      <w:r>
        <w:rPr>
          <w:rFonts w:hint="eastAsia" w:ascii="仿宋" w:hAnsi="仿宋" w:eastAsia="仿宋" w:cs="仿宋"/>
          <w:w w:val="95"/>
          <w:kern w:val="2"/>
          <w:sz w:val="32"/>
          <w:szCs w:val="32"/>
          <w:u w:val="none"/>
          <w:lang w:val="en-US" w:eastAsia="zh-CN" w:bidi="ar-SA"/>
        </w:rPr>
        <w:t>4</w:t>
      </w:r>
      <w:r>
        <w:rPr>
          <w:rFonts w:hint="default" w:ascii="仿宋" w:hAnsi="仿宋" w:eastAsia="仿宋" w:cs="仿宋"/>
          <w:w w:val="95"/>
          <w:kern w:val="2"/>
          <w:sz w:val="32"/>
          <w:szCs w:val="32"/>
          <w:u w:val="none"/>
          <w:lang w:val="en-US" w:eastAsia="zh-CN" w:bidi="ar-SA"/>
        </w:rPr>
        <w:t xml:space="preserve"> 年该项目预算 80 万元。</w:t>
      </w:r>
    </w:p>
    <w:p>
      <w:pPr>
        <w:pageBreakBefore w:val="0"/>
        <w:kinsoku/>
        <w:wordWrap/>
        <w:overflowPunct/>
        <w:topLinePunct w:val="0"/>
        <w:bidi w:val="0"/>
        <w:spacing w:line="560" w:lineRule="exact"/>
        <w:ind w:firstLine="640" w:firstLineChars="200"/>
        <w:textAlignment w:val="auto"/>
        <w:rPr>
          <w:rFonts w:hint="eastAsia"/>
        </w:rPr>
      </w:pPr>
      <w:r>
        <w:rPr>
          <w:rFonts w:hint="eastAsia" w:eastAsia="黑体" w:cs="黑体"/>
          <w:b w:val="0"/>
          <w:bCs w:val="0"/>
          <w:sz w:val="32"/>
          <w:szCs w:val="36"/>
          <w:u w:val="none"/>
          <w:lang w:val="en-US" w:eastAsia="zh-CN"/>
        </w:rPr>
        <w:t>十一、</w:t>
      </w:r>
      <w:r>
        <w:rPr>
          <w:rFonts w:hint="eastAsia" w:eastAsia="黑体" w:cs="黑体"/>
          <w:b w:val="0"/>
          <w:bCs w:val="0"/>
          <w:sz w:val="32"/>
          <w:szCs w:val="36"/>
          <w:u w:val="none"/>
        </w:rPr>
        <w:t>一般公共预算机关运行经费支出预算情况说明</w:t>
      </w:r>
    </w:p>
    <w:p>
      <w:pPr>
        <w:keepNext w:val="0"/>
        <w:keepLines w:val="0"/>
        <w:pageBreakBefore w:val="0"/>
        <w:widowControl w:val="0"/>
        <w:numPr>
          <w:ilvl w:val="0"/>
          <w:numId w:val="0"/>
        </w:numPr>
        <w:pBdr>
          <w:bottom w:val="single" w:color="FFFFFF" w:sz="4" w:space="30"/>
        </w:pBdr>
        <w:kinsoku/>
        <w:wordWrap/>
        <w:overflowPunct/>
        <w:topLinePunct w:val="0"/>
        <w:autoSpaceDE/>
        <w:autoSpaceDN/>
        <w:bidi w:val="0"/>
        <w:adjustRightInd/>
        <w:snapToGrid w:val="0"/>
        <w:spacing w:line="560" w:lineRule="exact"/>
        <w:ind w:firstLine="608" w:firstLineChars="200"/>
        <w:textAlignment w:val="auto"/>
        <w:rPr>
          <w:rFonts w:hint="eastAsia"/>
        </w:rPr>
      </w:pPr>
      <w:r>
        <w:rPr>
          <w:rFonts w:hint="eastAsia" w:ascii="仿宋" w:hAnsi="仿宋" w:eastAsia="仿宋" w:cs="仿宋"/>
          <w:w w:val="95"/>
          <w:kern w:val="2"/>
          <w:sz w:val="32"/>
          <w:szCs w:val="32"/>
          <w:u w:val="none"/>
          <w:lang w:val="en-US" w:eastAsia="zh-CN" w:bidi="ar-SA"/>
        </w:rPr>
        <w:t>2024</w:t>
      </w:r>
      <w:r>
        <w:rPr>
          <w:rFonts w:hint="default" w:ascii="仿宋" w:hAnsi="仿宋" w:eastAsia="仿宋" w:cs="仿宋"/>
          <w:w w:val="95"/>
          <w:kern w:val="2"/>
          <w:sz w:val="32"/>
          <w:szCs w:val="32"/>
          <w:u w:val="none"/>
          <w:lang w:val="en-US" w:eastAsia="zh-CN" w:bidi="ar-SA"/>
        </w:rPr>
        <w:t>年</w:t>
      </w:r>
      <w:r>
        <w:rPr>
          <w:rFonts w:hint="eastAsia" w:ascii="仿宋" w:hAnsi="仿宋" w:eastAsia="仿宋" w:cs="仿宋"/>
          <w:w w:val="95"/>
          <w:kern w:val="2"/>
          <w:sz w:val="32"/>
          <w:szCs w:val="32"/>
          <w:u w:val="none"/>
          <w:lang w:val="en-US" w:eastAsia="zh-CN" w:bidi="ar-SA"/>
        </w:rPr>
        <w:t>单位</w:t>
      </w:r>
      <w:r>
        <w:rPr>
          <w:rFonts w:hint="default" w:ascii="仿宋" w:hAnsi="仿宋" w:eastAsia="仿宋" w:cs="仿宋"/>
          <w:w w:val="95"/>
          <w:kern w:val="2"/>
          <w:sz w:val="32"/>
          <w:szCs w:val="32"/>
          <w:u w:val="none"/>
          <w:lang w:val="en-US" w:eastAsia="zh-CN" w:bidi="ar-SA"/>
        </w:rPr>
        <w:t>一般公共预算机关运行经费预算支出</w:t>
      </w:r>
      <w:r>
        <w:rPr>
          <w:rFonts w:hint="default" w:ascii="仿宋" w:hAnsi="仿宋" w:eastAsia="仿宋" w:cs="仿宋"/>
          <w:w w:val="95"/>
          <w:kern w:val="2"/>
          <w:sz w:val="32"/>
          <w:szCs w:val="32"/>
          <w:u w:val="none"/>
          <w:lang w:val="en-US" w:eastAsia="zh-CN" w:bidi="ar-SA"/>
        </w:rPr>
        <w:tab/>
      </w:r>
      <w:r>
        <w:rPr>
          <w:rFonts w:hint="eastAsia" w:ascii="仿宋" w:hAnsi="仿宋" w:eastAsia="仿宋" w:cs="仿宋"/>
          <w:w w:val="95"/>
          <w:kern w:val="2"/>
          <w:sz w:val="32"/>
          <w:szCs w:val="32"/>
          <w:u w:val="none"/>
          <w:lang w:val="en-US" w:eastAsia="zh-CN" w:bidi="ar-SA"/>
        </w:rPr>
        <w:t>5.15</w:t>
      </w:r>
      <w:r>
        <w:rPr>
          <w:rFonts w:hint="default" w:ascii="仿宋" w:hAnsi="仿宋" w:eastAsia="仿宋" w:cs="仿宋"/>
          <w:w w:val="95"/>
          <w:kern w:val="2"/>
          <w:sz w:val="32"/>
          <w:szCs w:val="32"/>
          <w:u w:val="none"/>
          <w:lang w:val="en-US" w:eastAsia="zh-CN" w:bidi="ar-SA"/>
        </w:rPr>
        <w:t>万元，主要包括以下支出：办公费</w:t>
      </w:r>
      <w:r>
        <w:rPr>
          <w:rFonts w:hint="eastAsia" w:ascii="仿宋" w:hAnsi="仿宋" w:eastAsia="仿宋" w:cs="仿宋"/>
          <w:w w:val="95"/>
          <w:kern w:val="2"/>
          <w:sz w:val="32"/>
          <w:szCs w:val="32"/>
          <w:u w:val="none"/>
          <w:lang w:val="en-US" w:eastAsia="zh-CN" w:bidi="ar-SA"/>
        </w:rPr>
        <w:t>0.51</w:t>
      </w:r>
      <w:r>
        <w:rPr>
          <w:rFonts w:hint="default" w:ascii="仿宋" w:hAnsi="仿宋" w:eastAsia="仿宋" w:cs="仿宋"/>
          <w:w w:val="95"/>
          <w:kern w:val="2"/>
          <w:sz w:val="32"/>
          <w:szCs w:val="32"/>
          <w:u w:val="none"/>
          <w:lang w:val="en-US" w:eastAsia="zh-CN" w:bidi="ar-SA"/>
        </w:rPr>
        <w:t>万元、邮电费</w:t>
      </w:r>
      <w:r>
        <w:rPr>
          <w:rFonts w:hint="eastAsia" w:ascii="仿宋" w:hAnsi="仿宋" w:eastAsia="仿宋" w:cs="仿宋"/>
          <w:w w:val="95"/>
          <w:kern w:val="2"/>
          <w:sz w:val="32"/>
          <w:szCs w:val="32"/>
          <w:u w:val="none"/>
          <w:lang w:val="en-US" w:eastAsia="zh-CN" w:bidi="ar-SA"/>
        </w:rPr>
        <w:t>0.2</w:t>
      </w:r>
      <w:r>
        <w:rPr>
          <w:rFonts w:hint="default" w:ascii="仿宋" w:hAnsi="仿宋" w:eastAsia="仿宋" w:cs="仿宋"/>
          <w:w w:val="95"/>
          <w:kern w:val="2"/>
          <w:sz w:val="32"/>
          <w:szCs w:val="32"/>
          <w:u w:val="none"/>
          <w:lang w:val="en-US" w:eastAsia="zh-CN" w:bidi="ar-SA"/>
        </w:rPr>
        <w:t>万元、差旅费</w:t>
      </w:r>
      <w:r>
        <w:rPr>
          <w:rFonts w:hint="eastAsia" w:ascii="仿宋" w:hAnsi="仿宋" w:eastAsia="仿宋" w:cs="仿宋"/>
          <w:w w:val="95"/>
          <w:kern w:val="2"/>
          <w:sz w:val="32"/>
          <w:szCs w:val="32"/>
          <w:u w:val="none"/>
          <w:lang w:val="en-US" w:eastAsia="zh-CN" w:bidi="ar-SA"/>
        </w:rPr>
        <w:t>1.21</w:t>
      </w:r>
      <w:r>
        <w:rPr>
          <w:rFonts w:hint="default" w:ascii="仿宋" w:hAnsi="仿宋" w:eastAsia="仿宋" w:cs="仿宋"/>
          <w:w w:val="95"/>
          <w:kern w:val="2"/>
          <w:sz w:val="32"/>
          <w:szCs w:val="32"/>
          <w:u w:val="none"/>
          <w:lang w:val="en-US" w:eastAsia="zh-CN" w:bidi="ar-SA"/>
        </w:rPr>
        <w:t>万元、</w:t>
      </w:r>
      <w:r>
        <w:rPr>
          <w:rFonts w:hint="eastAsia" w:ascii="仿宋" w:hAnsi="仿宋" w:eastAsia="仿宋" w:cs="仿宋"/>
          <w:w w:val="95"/>
          <w:kern w:val="2"/>
          <w:sz w:val="32"/>
          <w:szCs w:val="32"/>
          <w:u w:val="none"/>
          <w:lang w:val="en-US" w:eastAsia="zh-CN" w:bidi="ar-SA"/>
        </w:rPr>
        <w:t>委托业务费0.68</w:t>
      </w:r>
      <w:r>
        <w:rPr>
          <w:rFonts w:hint="default" w:ascii="仿宋" w:hAnsi="仿宋" w:eastAsia="仿宋" w:cs="仿宋"/>
          <w:w w:val="95"/>
          <w:kern w:val="2"/>
          <w:sz w:val="32"/>
          <w:szCs w:val="32"/>
          <w:u w:val="none"/>
          <w:lang w:val="en-US" w:eastAsia="zh-CN" w:bidi="ar-SA"/>
        </w:rPr>
        <w:t>万元、公务用车维护费</w:t>
      </w:r>
      <w:r>
        <w:rPr>
          <w:rFonts w:hint="eastAsia" w:ascii="仿宋" w:hAnsi="仿宋" w:eastAsia="仿宋" w:cs="仿宋"/>
          <w:w w:val="95"/>
          <w:kern w:val="2"/>
          <w:sz w:val="32"/>
          <w:szCs w:val="32"/>
          <w:u w:val="none"/>
          <w:lang w:val="en-US" w:eastAsia="zh-CN" w:bidi="ar-SA"/>
        </w:rPr>
        <w:t>2.5</w:t>
      </w:r>
      <w:r>
        <w:rPr>
          <w:rFonts w:hint="default" w:ascii="仿宋" w:hAnsi="仿宋" w:eastAsia="仿宋" w:cs="仿宋"/>
          <w:w w:val="95"/>
          <w:kern w:val="2"/>
          <w:sz w:val="32"/>
          <w:szCs w:val="32"/>
          <w:u w:val="none"/>
          <w:lang w:val="en-US" w:eastAsia="zh-CN" w:bidi="ar-SA"/>
        </w:rPr>
        <w:t>万元</w:t>
      </w:r>
      <w:r>
        <w:rPr>
          <w:rFonts w:hint="eastAsia" w:ascii="仿宋" w:hAnsi="仿宋" w:eastAsia="仿宋" w:cs="仿宋"/>
          <w:w w:val="95"/>
          <w:kern w:val="2"/>
          <w:sz w:val="32"/>
          <w:szCs w:val="32"/>
          <w:u w:val="none"/>
          <w:lang w:val="en-US" w:eastAsia="zh-CN" w:bidi="ar-SA"/>
        </w:rPr>
        <w:t>、其他商品和服务支出0.05万元。</w:t>
      </w:r>
      <w:r>
        <w:rPr>
          <w:rFonts w:hint="default" w:ascii="仿宋" w:hAnsi="仿宋" w:eastAsia="仿宋" w:cs="仿宋"/>
          <w:w w:val="95"/>
          <w:kern w:val="2"/>
          <w:sz w:val="32"/>
          <w:szCs w:val="32"/>
          <w:u w:val="none"/>
          <w:lang w:val="en-US" w:eastAsia="zh-CN" w:bidi="ar-SA"/>
        </w:rPr>
        <w:t>与上年相比减少</w:t>
      </w:r>
      <w:r>
        <w:rPr>
          <w:rFonts w:hint="eastAsia" w:ascii="仿宋" w:hAnsi="仿宋" w:eastAsia="仿宋" w:cs="仿宋"/>
          <w:w w:val="95"/>
          <w:kern w:val="2"/>
          <w:sz w:val="32"/>
          <w:szCs w:val="32"/>
          <w:u w:val="none"/>
          <w:lang w:val="en-US" w:eastAsia="zh-CN" w:bidi="ar-SA"/>
        </w:rPr>
        <w:t>0.68</w:t>
      </w:r>
      <w:r>
        <w:rPr>
          <w:rFonts w:hint="default" w:ascii="仿宋" w:hAnsi="仿宋" w:eastAsia="仿宋" w:cs="仿宋"/>
          <w:w w:val="95"/>
          <w:kern w:val="2"/>
          <w:sz w:val="32"/>
          <w:szCs w:val="32"/>
          <w:u w:val="none"/>
          <w:lang w:val="en-US" w:eastAsia="zh-CN" w:bidi="ar-SA"/>
        </w:rPr>
        <w:t>万元，减少</w:t>
      </w:r>
      <w:r>
        <w:rPr>
          <w:rFonts w:hint="eastAsia" w:ascii="仿宋" w:hAnsi="仿宋" w:eastAsia="仿宋" w:cs="仿宋"/>
          <w:w w:val="95"/>
          <w:kern w:val="2"/>
          <w:sz w:val="32"/>
          <w:szCs w:val="32"/>
          <w:u w:val="none"/>
          <w:lang w:val="en-US" w:eastAsia="zh-CN" w:bidi="ar-SA"/>
        </w:rPr>
        <w:t>11.66</w:t>
      </w:r>
      <w:r>
        <w:rPr>
          <w:rFonts w:hint="default" w:ascii="仿宋" w:hAnsi="仿宋" w:eastAsia="仿宋" w:cs="仿宋"/>
          <w:w w:val="95"/>
          <w:kern w:val="2"/>
          <w:sz w:val="32"/>
          <w:szCs w:val="32"/>
          <w:u w:val="none"/>
          <w:lang w:val="en-US" w:eastAsia="zh-CN" w:bidi="ar-SA"/>
        </w:rPr>
        <w:t>%。主要原因是：</w:t>
      </w:r>
      <w:r>
        <w:rPr>
          <w:rFonts w:hint="eastAsia" w:ascii="仿宋" w:hAnsi="仿宋" w:eastAsia="仿宋" w:cs="仿宋"/>
          <w:w w:val="95"/>
          <w:kern w:val="2"/>
          <w:sz w:val="32"/>
          <w:szCs w:val="32"/>
          <w:u w:val="none"/>
          <w:lang w:val="en-US" w:eastAsia="zh-CN" w:bidi="ar-SA"/>
        </w:rPr>
        <w:t>本年工会经费及福利费归入人员经费，导致日常公用经费减少</w:t>
      </w:r>
      <w:r>
        <w:rPr>
          <w:rFonts w:hint="default" w:ascii="仿宋" w:hAnsi="仿宋" w:eastAsia="仿宋" w:cs="仿宋"/>
          <w:w w:val="95"/>
          <w:kern w:val="2"/>
          <w:sz w:val="32"/>
          <w:szCs w:val="32"/>
          <w:u w:val="none"/>
          <w:lang w:val="en-US" w:eastAsia="zh-CN" w:bidi="ar-SA"/>
        </w:rPr>
        <w:t>。</w:t>
      </w:r>
    </w:p>
    <w:p>
      <w:pPr>
        <w:pageBreakBefore w:val="0"/>
        <w:numPr>
          <w:ilvl w:val="0"/>
          <w:numId w:val="0"/>
        </w:numPr>
        <w:pBdr>
          <w:bottom w:val="single" w:color="FFFFFF" w:sz="4" w:space="30"/>
        </w:pBdr>
        <w:kinsoku/>
        <w:wordWrap/>
        <w:overflowPunct/>
        <w:topLinePunct w:val="0"/>
        <w:bidi w:val="0"/>
        <w:snapToGrid w:val="0"/>
        <w:spacing w:line="560" w:lineRule="exact"/>
        <w:textAlignment w:val="auto"/>
        <w:rPr>
          <w:rFonts w:eastAsia="仿宋_GB2312" w:cstheme="minorBidi"/>
          <w:sz w:val="32"/>
          <w:szCs w:val="32"/>
          <w:highlight w:val="yellow"/>
          <w:u w:val="none"/>
        </w:rPr>
      </w:pPr>
      <w:r>
        <w:rPr>
          <w:rFonts w:hint="eastAsia" w:eastAsia="黑体" w:cs="黑体"/>
          <w:b w:val="0"/>
          <w:bCs w:val="0"/>
          <w:sz w:val="32"/>
          <w:szCs w:val="36"/>
          <w:u w:val="none"/>
          <w:lang w:val="en-US" w:eastAsia="zh-CN"/>
        </w:rPr>
        <w:t xml:space="preserve">    十二、</w:t>
      </w:r>
      <w:r>
        <w:rPr>
          <w:rFonts w:hint="eastAsia" w:eastAsia="黑体" w:cs="黑体"/>
          <w:b w:val="0"/>
          <w:bCs w:val="0"/>
          <w:sz w:val="32"/>
          <w:szCs w:val="36"/>
          <w:u w:val="none"/>
        </w:rPr>
        <w:t>政府采购支出预算情况说明</w:t>
      </w:r>
    </w:p>
    <w:p>
      <w:pPr>
        <w:keepNext w:val="0"/>
        <w:keepLines w:val="0"/>
        <w:pageBreakBefore w:val="0"/>
        <w:widowControl w:val="0"/>
        <w:numPr>
          <w:ilvl w:val="0"/>
          <w:numId w:val="0"/>
        </w:numPr>
        <w:pBdr>
          <w:bottom w:val="single" w:color="FFFFFF" w:sz="4" w:space="30"/>
        </w:pBdr>
        <w:kinsoku/>
        <w:wordWrap/>
        <w:overflowPunct/>
        <w:topLinePunct w:val="0"/>
        <w:autoSpaceDE/>
        <w:autoSpaceDN/>
        <w:bidi w:val="0"/>
        <w:adjustRightInd/>
        <w:snapToGrid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eastAsia" w:ascii="仿宋" w:hAnsi="仿宋" w:eastAsia="仿宋" w:cs="仿宋"/>
          <w:w w:val="95"/>
          <w:kern w:val="2"/>
          <w:sz w:val="32"/>
          <w:szCs w:val="32"/>
          <w:u w:val="none"/>
          <w:lang w:val="en-US" w:eastAsia="zh-CN" w:bidi="ar-SA"/>
        </w:rPr>
        <w:t>2024年度</w:t>
      </w:r>
      <w:r>
        <w:rPr>
          <w:rFonts w:hint="default" w:ascii="仿宋" w:hAnsi="仿宋" w:eastAsia="仿宋" w:cs="仿宋"/>
          <w:w w:val="95"/>
          <w:kern w:val="2"/>
          <w:sz w:val="32"/>
          <w:szCs w:val="32"/>
          <w:u w:val="none"/>
          <w:lang w:val="en-US" w:eastAsia="zh-CN" w:bidi="ar-SA"/>
        </w:rPr>
        <w:t>政府采购支出预算总额</w:t>
      </w:r>
      <w:r>
        <w:rPr>
          <w:rFonts w:hint="eastAsia" w:ascii="仿宋" w:hAnsi="仿宋" w:eastAsia="仿宋" w:cs="仿宋"/>
          <w:w w:val="95"/>
          <w:kern w:val="2"/>
          <w:sz w:val="32"/>
          <w:szCs w:val="32"/>
          <w:u w:val="none"/>
          <w:lang w:val="en-US" w:eastAsia="zh-CN" w:bidi="ar-SA"/>
        </w:rPr>
        <w:t>82.54</w:t>
      </w:r>
      <w:r>
        <w:rPr>
          <w:rFonts w:hint="default" w:ascii="仿宋" w:hAnsi="仿宋" w:eastAsia="仿宋" w:cs="仿宋"/>
          <w:w w:val="95"/>
          <w:kern w:val="2"/>
          <w:sz w:val="32"/>
          <w:szCs w:val="32"/>
          <w:u w:val="none"/>
          <w:lang w:val="en-US" w:eastAsia="zh-CN" w:bidi="ar-SA"/>
        </w:rPr>
        <w:t>万元，其中：拟采购货物支出</w:t>
      </w:r>
      <w:r>
        <w:rPr>
          <w:rFonts w:hint="eastAsia" w:ascii="仿宋" w:hAnsi="仿宋" w:eastAsia="仿宋" w:cs="仿宋"/>
          <w:w w:val="95"/>
          <w:kern w:val="2"/>
          <w:sz w:val="32"/>
          <w:szCs w:val="32"/>
          <w:u w:val="none"/>
          <w:lang w:val="en-US" w:eastAsia="zh-CN" w:bidi="ar-SA"/>
        </w:rPr>
        <w:t>0.1</w:t>
      </w:r>
      <w:r>
        <w:rPr>
          <w:rFonts w:hint="default" w:ascii="仿宋" w:hAnsi="仿宋" w:eastAsia="仿宋" w:cs="仿宋"/>
          <w:w w:val="95"/>
          <w:kern w:val="2"/>
          <w:sz w:val="32"/>
          <w:szCs w:val="32"/>
          <w:u w:val="none"/>
          <w:lang w:val="en-US" w:eastAsia="zh-CN" w:bidi="ar-SA"/>
        </w:rPr>
        <w:t>万元、拟采购工程支出</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万元、拟购买服务支出</w:t>
      </w:r>
      <w:r>
        <w:rPr>
          <w:rFonts w:hint="default" w:ascii="仿宋" w:hAnsi="仿宋" w:eastAsia="仿宋" w:cs="仿宋"/>
          <w:w w:val="95"/>
          <w:kern w:val="2"/>
          <w:sz w:val="32"/>
          <w:szCs w:val="32"/>
          <w:u w:val="none"/>
          <w:lang w:val="en-US" w:eastAsia="zh-CN" w:bidi="ar-SA"/>
        </w:rPr>
        <w:tab/>
      </w:r>
      <w:r>
        <w:rPr>
          <w:rFonts w:hint="eastAsia" w:ascii="仿宋" w:hAnsi="仿宋" w:eastAsia="仿宋" w:cs="仿宋"/>
          <w:w w:val="95"/>
          <w:kern w:val="2"/>
          <w:sz w:val="32"/>
          <w:szCs w:val="32"/>
          <w:u w:val="none"/>
          <w:lang w:val="en-US" w:eastAsia="zh-CN" w:bidi="ar-SA"/>
        </w:rPr>
        <w:t>82.44</w:t>
      </w:r>
      <w:r>
        <w:rPr>
          <w:rFonts w:hint="default" w:ascii="仿宋" w:hAnsi="仿宋" w:eastAsia="仿宋" w:cs="仿宋"/>
          <w:w w:val="95"/>
          <w:kern w:val="2"/>
          <w:sz w:val="32"/>
          <w:szCs w:val="32"/>
          <w:u w:val="none"/>
          <w:lang w:val="en-US" w:eastAsia="zh-CN" w:bidi="ar-SA"/>
        </w:rPr>
        <w:t>万元。涵盖车辆维修和保养服务</w:t>
      </w:r>
      <w:r>
        <w:rPr>
          <w:rFonts w:hint="eastAsia" w:ascii="仿宋" w:hAnsi="仿宋" w:eastAsia="仿宋" w:cs="仿宋"/>
          <w:w w:val="95"/>
          <w:kern w:val="2"/>
          <w:sz w:val="32"/>
          <w:szCs w:val="32"/>
          <w:u w:val="none"/>
          <w:lang w:val="en-US" w:eastAsia="zh-CN" w:bidi="ar-SA"/>
        </w:rPr>
        <w:t>、</w:t>
      </w:r>
      <w:r>
        <w:rPr>
          <w:rFonts w:hint="default" w:ascii="仿宋" w:hAnsi="仿宋" w:eastAsia="仿宋" w:cs="仿宋"/>
          <w:w w:val="95"/>
          <w:kern w:val="2"/>
          <w:sz w:val="32"/>
          <w:szCs w:val="32"/>
          <w:u w:val="none"/>
          <w:lang w:val="en-US" w:eastAsia="zh-CN" w:bidi="ar-SA"/>
        </w:rPr>
        <w:t>车辆加油、添加燃料服务</w:t>
      </w:r>
      <w:r>
        <w:rPr>
          <w:rFonts w:hint="eastAsia" w:ascii="仿宋" w:hAnsi="仿宋" w:eastAsia="仿宋" w:cs="仿宋"/>
          <w:w w:val="95"/>
          <w:kern w:val="2"/>
          <w:sz w:val="32"/>
          <w:szCs w:val="32"/>
          <w:u w:val="none"/>
          <w:lang w:val="en-US" w:eastAsia="zh-CN" w:bidi="ar-SA"/>
        </w:rPr>
        <w:t>、</w:t>
      </w:r>
      <w:r>
        <w:rPr>
          <w:rFonts w:hint="default" w:ascii="仿宋" w:hAnsi="仿宋" w:eastAsia="仿宋" w:cs="仿宋"/>
          <w:w w:val="95"/>
          <w:kern w:val="2"/>
          <w:sz w:val="32"/>
          <w:szCs w:val="32"/>
          <w:u w:val="none"/>
          <w:lang w:val="en-US" w:eastAsia="zh-CN" w:bidi="ar-SA"/>
        </w:rPr>
        <w:t>财产保险服务</w:t>
      </w:r>
      <w:r>
        <w:rPr>
          <w:rFonts w:hint="eastAsia" w:ascii="仿宋" w:hAnsi="仿宋" w:eastAsia="仿宋" w:cs="仿宋"/>
          <w:w w:val="95"/>
          <w:kern w:val="2"/>
          <w:sz w:val="32"/>
          <w:szCs w:val="32"/>
          <w:u w:val="none"/>
          <w:lang w:val="en-US" w:eastAsia="zh-CN" w:bidi="ar-SA"/>
        </w:rPr>
        <w:t>、</w:t>
      </w:r>
      <w:r>
        <w:rPr>
          <w:rFonts w:hint="default" w:ascii="仿宋" w:hAnsi="仿宋" w:eastAsia="仿宋" w:cs="仿宋"/>
          <w:w w:val="95"/>
          <w:kern w:val="2"/>
          <w:sz w:val="32"/>
          <w:szCs w:val="32"/>
          <w:u w:val="none"/>
          <w:lang w:val="en-US" w:eastAsia="zh-CN" w:bidi="ar-SA"/>
        </w:rPr>
        <w:t>其他服务</w:t>
      </w:r>
      <w:r>
        <w:rPr>
          <w:rFonts w:hint="eastAsia" w:ascii="仿宋" w:hAnsi="仿宋" w:eastAsia="仿宋" w:cs="仿宋"/>
          <w:w w:val="95"/>
          <w:kern w:val="2"/>
          <w:sz w:val="32"/>
          <w:szCs w:val="32"/>
          <w:u w:val="none"/>
          <w:lang w:val="en-US" w:eastAsia="zh-CN" w:bidi="ar-SA"/>
        </w:rPr>
        <w:t>、复印纸</w:t>
      </w:r>
      <w:r>
        <w:rPr>
          <w:rFonts w:hint="default" w:ascii="仿宋" w:hAnsi="仿宋" w:eastAsia="仿宋" w:cs="仿宋"/>
          <w:w w:val="95"/>
          <w:kern w:val="2"/>
          <w:sz w:val="32"/>
          <w:szCs w:val="32"/>
          <w:u w:val="none"/>
          <w:lang w:val="en-US" w:eastAsia="zh-CN" w:bidi="ar-SA"/>
        </w:rPr>
        <w:t>等采购大类，编制政府采购预算明细</w:t>
      </w:r>
      <w:r>
        <w:rPr>
          <w:rFonts w:hint="eastAsia" w:ascii="仿宋" w:hAnsi="仿宋" w:eastAsia="仿宋" w:cs="仿宋"/>
          <w:w w:val="95"/>
          <w:kern w:val="2"/>
          <w:sz w:val="32"/>
          <w:szCs w:val="32"/>
          <w:u w:val="none"/>
          <w:lang w:val="en-US" w:eastAsia="zh-CN" w:bidi="ar-SA"/>
        </w:rPr>
        <w:t>5</w:t>
      </w:r>
      <w:r>
        <w:rPr>
          <w:rFonts w:hint="default" w:ascii="仿宋" w:hAnsi="仿宋" w:eastAsia="仿宋" w:cs="仿宋"/>
          <w:w w:val="95"/>
          <w:kern w:val="2"/>
          <w:sz w:val="32"/>
          <w:szCs w:val="32"/>
          <w:u w:val="none"/>
          <w:lang w:val="en-US" w:eastAsia="zh-CN" w:bidi="ar-SA"/>
        </w:rPr>
        <w:t>项，采购金额来源为</w:t>
      </w:r>
      <w:r>
        <w:rPr>
          <w:rFonts w:hint="eastAsia" w:ascii="仿宋" w:hAnsi="仿宋" w:eastAsia="仿宋" w:cs="仿宋"/>
          <w:w w:val="95"/>
          <w:kern w:val="2"/>
          <w:sz w:val="32"/>
          <w:szCs w:val="32"/>
          <w:u w:val="none"/>
          <w:lang w:val="en-US" w:eastAsia="zh-CN" w:bidi="ar-SA"/>
        </w:rPr>
        <w:t>公务用车运行维护费、</w:t>
      </w:r>
      <w:r>
        <w:rPr>
          <w:rFonts w:hint="default" w:ascii="仿宋" w:hAnsi="仿宋" w:eastAsia="仿宋" w:cs="仿宋"/>
          <w:w w:val="95"/>
          <w:kern w:val="2"/>
          <w:sz w:val="32"/>
          <w:szCs w:val="32"/>
          <w:u w:val="none"/>
          <w:lang w:val="en-US" w:eastAsia="zh-CN" w:bidi="ar-SA"/>
        </w:rPr>
        <w:t>满都拉口岸通勤车费</w:t>
      </w:r>
      <w:r>
        <w:rPr>
          <w:rFonts w:hint="eastAsia" w:ascii="仿宋" w:hAnsi="仿宋" w:eastAsia="仿宋" w:cs="仿宋"/>
          <w:w w:val="95"/>
          <w:kern w:val="2"/>
          <w:sz w:val="32"/>
          <w:szCs w:val="32"/>
          <w:u w:val="none"/>
          <w:lang w:val="en-US" w:eastAsia="zh-CN" w:bidi="ar-SA"/>
        </w:rPr>
        <w:t>、</w:t>
      </w:r>
      <w:r>
        <w:rPr>
          <w:rFonts w:hint="default" w:ascii="仿宋" w:hAnsi="仿宋" w:eastAsia="仿宋" w:cs="仿宋"/>
          <w:w w:val="95"/>
          <w:kern w:val="2"/>
          <w:sz w:val="32"/>
          <w:szCs w:val="32"/>
          <w:u w:val="none"/>
          <w:lang w:val="en-US" w:eastAsia="zh-CN" w:bidi="ar-SA"/>
        </w:rPr>
        <w:t>航空口岸后勤保障经</w:t>
      </w:r>
      <w:r>
        <w:rPr>
          <w:rFonts w:hint="eastAsia" w:ascii="仿宋" w:hAnsi="仿宋" w:eastAsia="仿宋" w:cs="仿宋"/>
          <w:w w:val="95"/>
          <w:kern w:val="2"/>
          <w:sz w:val="32"/>
          <w:szCs w:val="32"/>
          <w:u w:val="none"/>
          <w:lang w:val="en-US" w:eastAsia="zh-CN" w:bidi="ar-SA"/>
        </w:rPr>
        <w:t>费、公用经费</w:t>
      </w:r>
      <w:r>
        <w:rPr>
          <w:rFonts w:hint="default" w:ascii="仿宋" w:hAnsi="仿宋" w:eastAsia="仿宋" w:cs="仿宋"/>
          <w:w w:val="95"/>
          <w:kern w:val="2"/>
          <w:sz w:val="32"/>
          <w:szCs w:val="32"/>
          <w:u w:val="none"/>
          <w:lang w:val="en-US" w:eastAsia="zh-CN" w:bidi="ar-SA"/>
        </w:rPr>
        <w:t>。</w:t>
      </w:r>
    </w:p>
    <w:p>
      <w:pPr>
        <w:pageBreakBefore w:val="0"/>
        <w:numPr>
          <w:ilvl w:val="0"/>
          <w:numId w:val="0"/>
        </w:numPr>
        <w:pBdr>
          <w:bottom w:val="single" w:color="FFFFFF" w:sz="4" w:space="30"/>
        </w:pBdr>
        <w:kinsoku/>
        <w:wordWrap/>
        <w:overflowPunct/>
        <w:topLinePunct w:val="0"/>
        <w:bidi w:val="0"/>
        <w:snapToGrid w:val="0"/>
        <w:spacing w:line="560" w:lineRule="exact"/>
        <w:textAlignment w:val="auto"/>
        <w:rPr>
          <w:rFonts w:hint="eastAsia" w:eastAsia="黑体" w:cs="黑体"/>
          <w:b w:val="0"/>
          <w:bCs w:val="0"/>
          <w:sz w:val="32"/>
          <w:szCs w:val="36"/>
          <w:u w:val="none"/>
        </w:rPr>
      </w:pPr>
      <w:r>
        <w:rPr>
          <w:rFonts w:hint="eastAsia" w:eastAsia="黑体" w:cs="黑体"/>
          <w:b w:val="0"/>
          <w:bCs w:val="0"/>
          <w:sz w:val="32"/>
          <w:szCs w:val="36"/>
          <w:u w:val="none"/>
          <w:lang w:val="en-US" w:eastAsia="zh-CN"/>
        </w:rPr>
        <w:t xml:space="preserve">    </w:t>
      </w:r>
      <w:r>
        <w:rPr>
          <w:rFonts w:hint="eastAsia" w:eastAsia="黑体" w:cs="黑体"/>
          <w:b w:val="0"/>
          <w:bCs w:val="0"/>
          <w:sz w:val="32"/>
          <w:szCs w:val="36"/>
          <w:u w:val="none"/>
          <w:lang w:eastAsia="zh-CN"/>
        </w:rPr>
        <w:t>十三、</w:t>
      </w:r>
      <w:r>
        <w:rPr>
          <w:rFonts w:hint="eastAsia" w:eastAsia="黑体" w:cs="黑体"/>
          <w:b w:val="0"/>
          <w:bCs w:val="0"/>
          <w:sz w:val="32"/>
          <w:szCs w:val="36"/>
          <w:u w:val="none"/>
        </w:rPr>
        <w:t>国有资产占用情况说明</w:t>
      </w:r>
    </w:p>
    <w:p>
      <w:pPr>
        <w:keepNext w:val="0"/>
        <w:keepLines w:val="0"/>
        <w:pageBreakBefore w:val="0"/>
        <w:widowControl w:val="0"/>
        <w:numPr>
          <w:ilvl w:val="0"/>
          <w:numId w:val="0"/>
        </w:numPr>
        <w:pBdr>
          <w:bottom w:val="single" w:color="FFFFFF" w:sz="4" w:space="30"/>
        </w:pBdr>
        <w:kinsoku/>
        <w:wordWrap/>
        <w:overflowPunct/>
        <w:topLinePunct w:val="0"/>
        <w:autoSpaceDE/>
        <w:autoSpaceDN/>
        <w:bidi w:val="0"/>
        <w:adjustRightInd/>
        <w:snapToGrid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default" w:ascii="仿宋" w:hAnsi="仿宋" w:eastAsia="仿宋" w:cs="仿宋"/>
          <w:w w:val="95"/>
          <w:kern w:val="2"/>
          <w:sz w:val="32"/>
          <w:szCs w:val="32"/>
          <w:u w:val="none"/>
          <w:lang w:val="en-US" w:eastAsia="zh-CN" w:bidi="ar-SA"/>
        </w:rPr>
        <w:t>本部门（单位）共有车辆</w:t>
      </w:r>
      <w:r>
        <w:rPr>
          <w:rFonts w:hint="eastAsia" w:ascii="仿宋" w:hAnsi="仿宋" w:eastAsia="仿宋" w:cs="仿宋"/>
          <w:w w:val="95"/>
          <w:kern w:val="2"/>
          <w:sz w:val="32"/>
          <w:szCs w:val="32"/>
          <w:u w:val="none"/>
          <w:lang w:val="en-US" w:eastAsia="zh-CN" w:bidi="ar-SA"/>
        </w:rPr>
        <w:t>1</w:t>
      </w:r>
      <w:r>
        <w:rPr>
          <w:rFonts w:hint="default" w:ascii="仿宋" w:hAnsi="仿宋" w:eastAsia="仿宋" w:cs="仿宋"/>
          <w:w w:val="95"/>
          <w:kern w:val="2"/>
          <w:sz w:val="32"/>
          <w:szCs w:val="32"/>
          <w:u w:val="none"/>
          <w:lang w:val="en-US" w:eastAsia="zh-CN" w:bidi="ar-SA"/>
        </w:rPr>
        <w:t>辆，其中，一般公务用车</w:t>
      </w:r>
      <w:r>
        <w:rPr>
          <w:rFonts w:hint="eastAsia" w:ascii="仿宋" w:hAnsi="仿宋" w:eastAsia="仿宋" w:cs="仿宋"/>
          <w:w w:val="95"/>
          <w:kern w:val="2"/>
          <w:sz w:val="32"/>
          <w:szCs w:val="32"/>
          <w:u w:val="none"/>
          <w:lang w:val="en-US" w:eastAsia="zh-CN" w:bidi="ar-SA"/>
        </w:rPr>
        <w:t>1</w:t>
      </w:r>
      <w:r>
        <w:rPr>
          <w:rFonts w:hint="default" w:ascii="仿宋" w:hAnsi="仿宋" w:eastAsia="仿宋" w:cs="仿宋"/>
          <w:w w:val="95"/>
          <w:kern w:val="2"/>
          <w:sz w:val="32"/>
          <w:szCs w:val="32"/>
          <w:u w:val="none"/>
          <w:lang w:val="en-US" w:eastAsia="zh-CN" w:bidi="ar-SA"/>
        </w:rPr>
        <w:t>辆、执法执勤用车</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辆、特种专业技术用车</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 xml:space="preserve"> 辆、业务用车</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辆、其他用车</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辆等。单价50万元（含）以上的通用设备</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台（套），单价100万元（含）以上的专用设备</w:t>
      </w:r>
      <w:r>
        <w:rPr>
          <w:rFonts w:hint="eastAsia" w:ascii="仿宋" w:hAnsi="仿宋" w:eastAsia="仿宋" w:cs="仿宋"/>
          <w:w w:val="95"/>
          <w:kern w:val="2"/>
          <w:sz w:val="32"/>
          <w:szCs w:val="32"/>
          <w:u w:val="none"/>
          <w:lang w:val="en-US" w:eastAsia="zh-CN" w:bidi="ar-SA"/>
        </w:rPr>
        <w:t>0</w:t>
      </w:r>
      <w:r>
        <w:rPr>
          <w:rFonts w:hint="default" w:ascii="仿宋" w:hAnsi="仿宋" w:eastAsia="仿宋" w:cs="仿宋"/>
          <w:w w:val="95"/>
          <w:kern w:val="2"/>
          <w:sz w:val="32"/>
          <w:szCs w:val="32"/>
          <w:u w:val="none"/>
          <w:lang w:val="en-US" w:eastAsia="zh-CN" w:bidi="ar-SA"/>
        </w:rPr>
        <w:t>台（套）。</w:t>
      </w:r>
    </w:p>
    <w:p>
      <w:pPr>
        <w:pageBreakBefore w:val="0"/>
        <w:numPr>
          <w:ilvl w:val="0"/>
          <w:numId w:val="0"/>
        </w:numPr>
        <w:pBdr>
          <w:bottom w:val="single" w:color="FFFFFF" w:sz="4" w:space="30"/>
        </w:pBdr>
        <w:kinsoku/>
        <w:wordWrap/>
        <w:overflowPunct/>
        <w:topLinePunct w:val="0"/>
        <w:bidi w:val="0"/>
        <w:snapToGrid w:val="0"/>
        <w:spacing w:line="560" w:lineRule="exact"/>
        <w:textAlignment w:val="auto"/>
        <w:rPr>
          <w:rFonts w:eastAsia="仿宋_GB2312" w:cstheme="minorBidi"/>
          <w:sz w:val="32"/>
          <w:szCs w:val="32"/>
          <w:u w:val="none"/>
        </w:rPr>
      </w:pPr>
      <w:r>
        <w:rPr>
          <w:rFonts w:hint="eastAsia" w:eastAsia="黑体" w:cs="黑体"/>
          <w:b w:val="0"/>
          <w:bCs w:val="0"/>
          <w:sz w:val="32"/>
          <w:szCs w:val="36"/>
          <w:u w:val="none"/>
          <w:lang w:val="en-US" w:eastAsia="zh-CN"/>
        </w:rPr>
        <w:t xml:space="preserve">    </w:t>
      </w:r>
      <w:r>
        <w:rPr>
          <w:rFonts w:hint="eastAsia" w:eastAsia="黑体" w:cs="黑体"/>
          <w:b w:val="0"/>
          <w:bCs w:val="0"/>
          <w:sz w:val="32"/>
          <w:szCs w:val="36"/>
          <w:u w:val="none"/>
          <w:lang w:eastAsia="zh-CN"/>
        </w:rPr>
        <w:t>十四、</w:t>
      </w:r>
      <w:r>
        <w:rPr>
          <w:rFonts w:hint="eastAsia" w:eastAsia="黑体" w:cs="黑体"/>
          <w:b w:val="0"/>
          <w:bCs w:val="0"/>
          <w:sz w:val="32"/>
          <w:szCs w:val="36"/>
          <w:u w:val="none"/>
        </w:rPr>
        <w:t>项目绩效目标情况说明</w:t>
      </w:r>
      <w:r>
        <w:rPr>
          <w:rFonts w:hint="eastAsia" w:eastAsia="黑体" w:cs="黑体"/>
          <w:b/>
          <w:bCs/>
          <w:sz w:val="32"/>
          <w:szCs w:val="36"/>
          <w:u w:val="none"/>
        </w:rPr>
        <w:t xml:space="preserve"> </w:t>
      </w:r>
    </w:p>
    <w:p>
      <w:pPr>
        <w:pageBreakBefore w:val="0"/>
        <w:numPr>
          <w:ilvl w:val="0"/>
          <w:numId w:val="0"/>
        </w:numPr>
        <w:pBdr>
          <w:bottom w:val="single" w:color="FFFFFF" w:sz="4" w:space="30"/>
        </w:pBdr>
        <w:kinsoku/>
        <w:wordWrap/>
        <w:overflowPunct/>
        <w:topLinePunct w:val="0"/>
        <w:bidi w:val="0"/>
        <w:snapToGrid w:val="0"/>
        <w:spacing w:line="560" w:lineRule="exact"/>
        <w:textAlignment w:val="auto"/>
        <w:rPr>
          <w:rFonts w:hint="eastAsia" w:ascii="仿宋" w:hAnsi="仿宋" w:eastAsia="仿宋" w:cs="仿宋"/>
          <w:w w:val="95"/>
          <w:kern w:val="2"/>
          <w:sz w:val="32"/>
          <w:szCs w:val="32"/>
          <w:u w:val="none"/>
          <w:lang w:val="en-US" w:eastAsia="zh-CN" w:bidi="ar-SA"/>
        </w:rPr>
      </w:pPr>
      <w:r>
        <w:rPr>
          <w:rFonts w:hint="eastAsia" w:eastAsia="黑体" w:cs="黑体"/>
          <w:b/>
          <w:bCs/>
          <w:sz w:val="32"/>
          <w:szCs w:val="36"/>
          <w:u w:val="none"/>
          <w:lang w:val="en-US" w:eastAsia="zh-CN"/>
        </w:rPr>
        <w:t xml:space="preserve">  </w:t>
      </w:r>
      <w:r>
        <w:rPr>
          <w:rFonts w:hint="eastAsia" w:ascii="仿宋" w:hAnsi="仿宋" w:eastAsia="仿宋" w:cs="仿宋"/>
          <w:w w:val="95"/>
          <w:kern w:val="2"/>
          <w:sz w:val="32"/>
          <w:szCs w:val="32"/>
          <w:u w:val="none"/>
          <w:lang w:val="en-US" w:eastAsia="zh-CN" w:bidi="ar-SA"/>
        </w:rPr>
        <w:t xml:space="preserve">  2024年，填报绩效目标的预算项目2个，公开绩效目标2个，公开项目占本年预算项目的100 %。公开填报绩效目标的项目预算135万元，占本年项目预算的100%。</w:t>
      </w:r>
    </w:p>
    <w:p>
      <w:pPr>
        <w:pStyle w:val="6"/>
        <w:pageBreakBefore w:val="0"/>
        <w:numPr>
          <w:ilvl w:val="0"/>
          <w:numId w:val="0"/>
        </w:numPr>
        <w:tabs>
          <w:tab w:val="left" w:pos="4392"/>
        </w:tabs>
        <w:kinsoku/>
        <w:wordWrap/>
        <w:overflowPunct/>
        <w:topLinePunct w:val="0"/>
        <w:bidi w:val="0"/>
        <w:spacing w:before="0" w:after="0" w:line="560" w:lineRule="exact"/>
        <w:jc w:val="center"/>
        <w:textAlignment w:val="auto"/>
        <w:rPr>
          <w:rFonts w:hint="eastAsia" w:eastAsia="宋体"/>
          <w:lang w:eastAsia="zh-CN"/>
        </w:rPr>
      </w:pPr>
      <w:r>
        <w:rPr>
          <w:rFonts w:hint="eastAsia" w:ascii="方正小标宋简体" w:hAnsi="方正小标宋简体" w:eastAsia="方正小标宋简体" w:cs="方正小标宋简体"/>
          <w:b w:val="0"/>
          <w:bCs w:val="0"/>
          <w:kern w:val="2"/>
          <w:sz w:val="36"/>
          <w:szCs w:val="36"/>
          <w:lang w:val="en-US" w:eastAsia="zh-CN" w:bidi="ar-SA"/>
        </w:rPr>
        <w:t>第三部分</w:t>
      </w:r>
      <w:r>
        <w:rPr>
          <w:rFonts w:hint="eastAsia" w:ascii="方正小标宋简体" w:hAnsi="方正小标宋简体" w:eastAsia="方正小标宋简体" w:cs="方正小标宋简体"/>
          <w:b w:val="0"/>
          <w:bCs w:val="0"/>
          <w:sz w:val="36"/>
          <w:szCs w:val="36"/>
          <w:u w:val="none"/>
        </w:rPr>
        <w:t xml:space="preserve">  名词解释</w:t>
      </w:r>
    </w:p>
    <w:p>
      <w:pPr>
        <w:keepNext w:val="0"/>
        <w:keepLines w:val="0"/>
        <w:pageBreakBefore w:val="0"/>
        <w:widowControl w:val="0"/>
        <w:numPr>
          <w:ilvl w:val="0"/>
          <w:numId w:val="0"/>
        </w:numPr>
        <w:pBdr>
          <w:bottom w:val="single" w:color="FFFFFF" w:sz="4" w:space="30"/>
        </w:pBdr>
        <w:kinsoku/>
        <w:wordWrap/>
        <w:overflowPunct/>
        <w:topLinePunct w:val="0"/>
        <w:autoSpaceDE/>
        <w:autoSpaceDN/>
        <w:bidi w:val="0"/>
        <w:adjustRightInd/>
        <w:snapToGrid w:val="0"/>
        <w:spacing w:line="560" w:lineRule="exact"/>
        <w:ind w:firstLine="611" w:firstLineChars="200"/>
        <w:textAlignment w:val="auto"/>
        <w:rPr>
          <w:rFonts w:hint="default" w:ascii="仿宋" w:hAnsi="仿宋" w:eastAsia="仿宋" w:cs="仿宋"/>
          <w:w w:val="95"/>
          <w:kern w:val="2"/>
          <w:sz w:val="32"/>
          <w:szCs w:val="32"/>
          <w:u w:val="none"/>
          <w:lang w:val="en-US" w:eastAsia="zh-CN" w:bidi="ar-SA"/>
        </w:rPr>
      </w:pPr>
      <w:r>
        <w:rPr>
          <w:rFonts w:hint="eastAsia" w:ascii="仿宋" w:hAnsi="仿宋" w:eastAsia="仿宋" w:cs="仿宋"/>
          <w:b/>
          <w:bCs/>
          <w:w w:val="95"/>
          <w:kern w:val="2"/>
          <w:sz w:val="32"/>
          <w:szCs w:val="32"/>
          <w:u w:val="none"/>
          <w:lang w:val="en-US" w:eastAsia="zh-CN" w:bidi="ar-SA"/>
        </w:rPr>
        <w:t>一、财政拨款：</w:t>
      </w:r>
      <w:r>
        <w:rPr>
          <w:rFonts w:hint="eastAsia" w:ascii="仿宋" w:hAnsi="仿宋" w:eastAsia="仿宋" w:cs="仿宋"/>
          <w:w w:val="95"/>
          <w:kern w:val="2"/>
          <w:sz w:val="32"/>
          <w:szCs w:val="32"/>
          <w:u w:val="none"/>
          <w:lang w:val="en-US" w:eastAsia="zh-CN" w:bidi="ar-SA"/>
        </w:rPr>
        <w:t>部门/单位从同级财政部门取得的各类财政拨款，包括一般公共预算拨款、政府性基金预算拨款、国有资本经营预算拨款。</w:t>
      </w:r>
    </w:p>
    <w:p>
      <w:pPr>
        <w:keepNext w:val="0"/>
        <w:keepLines w:val="0"/>
        <w:pageBreakBefore w:val="0"/>
        <w:widowControl w:val="0"/>
        <w:numPr>
          <w:ilvl w:val="0"/>
          <w:numId w:val="0"/>
        </w:numPr>
        <w:pBdr>
          <w:bottom w:val="single" w:color="FFFFFF" w:sz="4" w:space="30"/>
        </w:pBdr>
        <w:kinsoku/>
        <w:wordWrap/>
        <w:overflowPunct/>
        <w:topLinePunct w:val="0"/>
        <w:autoSpaceDE/>
        <w:autoSpaceDN/>
        <w:bidi w:val="0"/>
        <w:adjustRightInd/>
        <w:snapToGrid w:val="0"/>
        <w:spacing w:line="560" w:lineRule="exact"/>
        <w:ind w:firstLine="611" w:firstLineChars="200"/>
        <w:textAlignment w:val="auto"/>
        <w:rPr>
          <w:rFonts w:hint="default" w:ascii="仿宋" w:hAnsi="仿宋" w:eastAsia="仿宋" w:cs="仿宋"/>
          <w:w w:val="95"/>
          <w:kern w:val="2"/>
          <w:sz w:val="32"/>
          <w:szCs w:val="32"/>
          <w:u w:val="none"/>
          <w:lang w:val="en-US" w:eastAsia="zh-CN" w:bidi="ar-SA"/>
        </w:rPr>
      </w:pPr>
      <w:r>
        <w:rPr>
          <w:rFonts w:hint="eastAsia" w:ascii="仿宋" w:hAnsi="仿宋" w:eastAsia="仿宋" w:cs="仿宋"/>
          <w:b/>
          <w:bCs/>
          <w:w w:val="95"/>
          <w:kern w:val="2"/>
          <w:sz w:val="32"/>
          <w:szCs w:val="32"/>
          <w:u w:val="none"/>
          <w:lang w:val="en-US" w:eastAsia="zh-CN" w:bidi="ar-SA"/>
        </w:rPr>
        <w:t>二、一般公共预算拨款收入：</w:t>
      </w:r>
      <w:r>
        <w:rPr>
          <w:rFonts w:hint="eastAsia" w:ascii="仿宋" w:hAnsi="仿宋" w:eastAsia="仿宋" w:cs="仿宋"/>
          <w:w w:val="95"/>
          <w:kern w:val="2"/>
          <w:sz w:val="32"/>
          <w:szCs w:val="32"/>
          <w:u w:val="none"/>
          <w:lang w:val="en-US" w:eastAsia="zh-CN" w:bidi="ar-SA"/>
        </w:rPr>
        <w:t>指市级财政当年拨付的资金。</w:t>
      </w:r>
    </w:p>
    <w:p>
      <w:pPr>
        <w:keepNext w:val="0"/>
        <w:keepLines w:val="0"/>
        <w:pageBreakBefore w:val="0"/>
        <w:widowControl w:val="0"/>
        <w:numPr>
          <w:ilvl w:val="0"/>
          <w:numId w:val="0"/>
        </w:numPr>
        <w:pBdr>
          <w:bottom w:val="single" w:color="FFFFFF" w:sz="4" w:space="30"/>
        </w:pBdr>
        <w:kinsoku/>
        <w:wordWrap/>
        <w:overflowPunct/>
        <w:topLinePunct w:val="0"/>
        <w:autoSpaceDE/>
        <w:autoSpaceDN/>
        <w:bidi w:val="0"/>
        <w:adjustRightInd/>
        <w:snapToGrid w:val="0"/>
        <w:spacing w:line="560" w:lineRule="exact"/>
        <w:ind w:firstLine="611" w:firstLineChars="200"/>
        <w:textAlignment w:val="auto"/>
        <w:rPr>
          <w:rFonts w:hint="default" w:ascii="仿宋" w:hAnsi="仿宋" w:eastAsia="仿宋" w:cs="仿宋"/>
          <w:w w:val="95"/>
          <w:kern w:val="2"/>
          <w:sz w:val="32"/>
          <w:szCs w:val="32"/>
          <w:u w:val="none"/>
          <w:lang w:val="en-US" w:eastAsia="zh-CN" w:bidi="ar-SA"/>
        </w:rPr>
      </w:pPr>
      <w:r>
        <w:rPr>
          <w:rFonts w:hint="eastAsia" w:ascii="仿宋" w:hAnsi="仿宋" w:eastAsia="仿宋" w:cs="仿宋"/>
          <w:b/>
          <w:bCs/>
          <w:w w:val="95"/>
          <w:kern w:val="2"/>
          <w:sz w:val="32"/>
          <w:szCs w:val="32"/>
          <w:u w:val="none"/>
          <w:lang w:val="en-US" w:eastAsia="zh-CN" w:bidi="ar-SA"/>
        </w:rPr>
        <w:t>三、财政专户管理资金：</w:t>
      </w:r>
      <w:r>
        <w:rPr>
          <w:rFonts w:hint="eastAsia" w:ascii="仿宋" w:hAnsi="仿宋" w:eastAsia="仿宋" w:cs="仿宋"/>
          <w:w w:val="95"/>
          <w:kern w:val="2"/>
          <w:sz w:val="32"/>
          <w:szCs w:val="32"/>
          <w:u w:val="none"/>
          <w:lang w:val="en-US" w:eastAsia="zh-CN" w:bidi="ar-SA"/>
        </w:rPr>
        <w:t>缴入财政专户、实行专项管理的高中以上学费、住宿费、高校委托培养费、函大、电大、夜大及短训班培训费等教育收费。</w:t>
      </w:r>
    </w:p>
    <w:p>
      <w:pPr>
        <w:keepNext w:val="0"/>
        <w:keepLines w:val="0"/>
        <w:pageBreakBefore w:val="0"/>
        <w:widowControl w:val="0"/>
        <w:numPr>
          <w:ilvl w:val="0"/>
          <w:numId w:val="0"/>
        </w:numPr>
        <w:pBdr>
          <w:bottom w:val="single" w:color="FFFFFF" w:sz="4" w:space="30"/>
        </w:pBdr>
        <w:kinsoku/>
        <w:wordWrap/>
        <w:overflowPunct/>
        <w:topLinePunct w:val="0"/>
        <w:autoSpaceDE/>
        <w:autoSpaceDN/>
        <w:bidi w:val="0"/>
        <w:adjustRightInd/>
        <w:snapToGrid w:val="0"/>
        <w:spacing w:line="560" w:lineRule="exact"/>
        <w:ind w:firstLine="611" w:firstLineChars="200"/>
        <w:textAlignment w:val="auto"/>
        <w:rPr>
          <w:rFonts w:hint="default" w:ascii="仿宋" w:hAnsi="仿宋" w:eastAsia="仿宋" w:cs="仿宋"/>
          <w:w w:val="95"/>
          <w:kern w:val="2"/>
          <w:sz w:val="32"/>
          <w:szCs w:val="32"/>
          <w:u w:val="none"/>
          <w:lang w:val="en-US" w:eastAsia="zh-CN" w:bidi="ar-SA"/>
        </w:rPr>
      </w:pPr>
      <w:r>
        <w:rPr>
          <w:rFonts w:hint="eastAsia" w:ascii="仿宋" w:hAnsi="仿宋" w:eastAsia="仿宋" w:cs="仿宋"/>
          <w:b/>
          <w:bCs/>
          <w:w w:val="95"/>
          <w:kern w:val="2"/>
          <w:sz w:val="32"/>
          <w:szCs w:val="32"/>
          <w:u w:val="none"/>
          <w:lang w:val="en-US" w:eastAsia="zh-CN" w:bidi="ar-SA"/>
        </w:rPr>
        <w:t>四、单位资金：</w:t>
      </w:r>
      <w:r>
        <w:rPr>
          <w:rFonts w:hint="eastAsia" w:ascii="仿宋" w:hAnsi="仿宋" w:eastAsia="仿宋" w:cs="仿宋"/>
          <w:w w:val="95"/>
          <w:kern w:val="2"/>
          <w:sz w:val="32"/>
          <w:szCs w:val="32"/>
          <w:u w:val="none"/>
          <w:lang w:val="en-US" w:eastAsia="zh-CN" w:bidi="ar-SA"/>
        </w:rPr>
        <w:t>除财政拨款收入和财政专户管理资金以外的收入，包括事业收入（不含教育收费）、上级补助收入、附属单位上缴收入、事业单位经营收入及其他收入（包含债务收入、投资收益等）。</w:t>
      </w:r>
    </w:p>
    <w:p>
      <w:pPr>
        <w:keepNext w:val="0"/>
        <w:keepLines w:val="0"/>
        <w:pageBreakBefore w:val="0"/>
        <w:widowControl w:val="0"/>
        <w:numPr>
          <w:ilvl w:val="0"/>
          <w:numId w:val="0"/>
        </w:numPr>
        <w:pBdr>
          <w:bottom w:val="single" w:color="FFFFFF" w:sz="4" w:space="30"/>
        </w:pBdr>
        <w:kinsoku/>
        <w:wordWrap/>
        <w:overflowPunct/>
        <w:topLinePunct w:val="0"/>
        <w:autoSpaceDE/>
        <w:autoSpaceDN/>
        <w:bidi w:val="0"/>
        <w:adjustRightInd/>
        <w:snapToGrid w:val="0"/>
        <w:spacing w:line="560" w:lineRule="exact"/>
        <w:ind w:firstLine="611" w:firstLineChars="200"/>
        <w:textAlignment w:val="auto"/>
        <w:rPr>
          <w:rFonts w:hint="default" w:ascii="仿宋" w:hAnsi="仿宋" w:eastAsia="仿宋" w:cs="仿宋"/>
          <w:w w:val="95"/>
          <w:kern w:val="2"/>
          <w:sz w:val="32"/>
          <w:szCs w:val="32"/>
          <w:u w:val="none"/>
          <w:lang w:val="en-US" w:eastAsia="zh-CN" w:bidi="ar-SA"/>
        </w:rPr>
      </w:pPr>
      <w:r>
        <w:rPr>
          <w:rFonts w:hint="eastAsia" w:ascii="仿宋" w:hAnsi="仿宋" w:eastAsia="仿宋" w:cs="仿宋"/>
          <w:b/>
          <w:bCs/>
          <w:w w:val="95"/>
          <w:kern w:val="2"/>
          <w:sz w:val="32"/>
          <w:szCs w:val="32"/>
          <w:u w:val="none"/>
          <w:lang w:val="en-US" w:eastAsia="zh-CN" w:bidi="ar-SA"/>
        </w:rPr>
        <w:t>五、基本支出：</w:t>
      </w:r>
      <w:r>
        <w:rPr>
          <w:rFonts w:hint="eastAsia" w:ascii="仿宋" w:hAnsi="仿宋" w:eastAsia="仿宋" w:cs="仿宋"/>
          <w:w w:val="95"/>
          <w:kern w:val="2"/>
          <w:sz w:val="32"/>
          <w:szCs w:val="32"/>
          <w:u w:val="none"/>
          <w:lang w:val="en-US" w:eastAsia="zh-CN" w:bidi="ar-SA"/>
        </w:rPr>
        <w:t>指为保障机构正常运转、完成工作任务而发生的人员支出和公用支出。</w:t>
      </w:r>
    </w:p>
    <w:p>
      <w:pPr>
        <w:keepNext w:val="0"/>
        <w:keepLines w:val="0"/>
        <w:pageBreakBefore w:val="0"/>
        <w:widowControl w:val="0"/>
        <w:numPr>
          <w:ilvl w:val="0"/>
          <w:numId w:val="0"/>
        </w:numPr>
        <w:pBdr>
          <w:bottom w:val="single" w:color="FFFFFF" w:sz="4" w:space="30"/>
        </w:pBdr>
        <w:kinsoku/>
        <w:wordWrap/>
        <w:overflowPunct/>
        <w:topLinePunct w:val="0"/>
        <w:autoSpaceDE/>
        <w:autoSpaceDN/>
        <w:bidi w:val="0"/>
        <w:adjustRightInd/>
        <w:snapToGrid w:val="0"/>
        <w:spacing w:line="560" w:lineRule="exact"/>
        <w:ind w:firstLine="611" w:firstLineChars="200"/>
        <w:textAlignment w:val="auto"/>
        <w:rPr>
          <w:rFonts w:hint="default" w:ascii="仿宋" w:hAnsi="仿宋" w:eastAsia="仿宋" w:cs="仿宋"/>
          <w:w w:val="95"/>
          <w:kern w:val="2"/>
          <w:sz w:val="32"/>
          <w:szCs w:val="32"/>
          <w:u w:val="none"/>
          <w:lang w:val="en-US" w:eastAsia="zh-CN" w:bidi="ar-SA"/>
        </w:rPr>
      </w:pPr>
      <w:r>
        <w:rPr>
          <w:rFonts w:hint="eastAsia" w:ascii="仿宋" w:hAnsi="仿宋" w:eastAsia="仿宋" w:cs="仿宋"/>
          <w:b/>
          <w:bCs/>
          <w:w w:val="95"/>
          <w:kern w:val="2"/>
          <w:sz w:val="32"/>
          <w:szCs w:val="32"/>
          <w:u w:val="none"/>
          <w:lang w:val="en-US" w:eastAsia="zh-CN" w:bidi="ar-SA"/>
        </w:rPr>
        <w:t>六、项目支出：</w:t>
      </w:r>
      <w:r>
        <w:rPr>
          <w:rFonts w:hint="eastAsia" w:ascii="仿宋" w:hAnsi="仿宋" w:eastAsia="仿宋" w:cs="仿宋"/>
          <w:w w:val="95"/>
          <w:kern w:val="2"/>
          <w:sz w:val="32"/>
          <w:szCs w:val="32"/>
          <w:u w:val="none"/>
          <w:lang w:val="en-US" w:eastAsia="zh-CN" w:bidi="ar-SA"/>
        </w:rPr>
        <w:t>指在基本支出之外为完成特定工作任务和事业发展目标所发生的支出。</w:t>
      </w:r>
    </w:p>
    <w:p>
      <w:pPr>
        <w:keepNext w:val="0"/>
        <w:keepLines w:val="0"/>
        <w:pageBreakBefore w:val="0"/>
        <w:widowControl w:val="0"/>
        <w:numPr>
          <w:ilvl w:val="0"/>
          <w:numId w:val="0"/>
        </w:numPr>
        <w:pBdr>
          <w:bottom w:val="single" w:color="FFFFFF" w:sz="4" w:space="30"/>
        </w:pBdr>
        <w:kinsoku/>
        <w:wordWrap/>
        <w:overflowPunct/>
        <w:topLinePunct w:val="0"/>
        <w:autoSpaceDE/>
        <w:autoSpaceDN/>
        <w:bidi w:val="0"/>
        <w:adjustRightInd/>
        <w:snapToGrid w:val="0"/>
        <w:spacing w:line="560" w:lineRule="exact"/>
        <w:ind w:firstLine="611" w:firstLineChars="200"/>
        <w:textAlignment w:val="auto"/>
        <w:rPr>
          <w:rFonts w:hint="default" w:ascii="仿宋" w:hAnsi="仿宋" w:eastAsia="仿宋" w:cs="仿宋"/>
          <w:w w:val="95"/>
          <w:kern w:val="2"/>
          <w:sz w:val="32"/>
          <w:szCs w:val="32"/>
          <w:u w:val="none"/>
          <w:lang w:val="en-US" w:eastAsia="zh-CN" w:bidi="ar-SA"/>
        </w:rPr>
      </w:pPr>
      <w:r>
        <w:rPr>
          <w:rFonts w:hint="eastAsia" w:ascii="仿宋" w:hAnsi="仿宋" w:eastAsia="仿宋" w:cs="仿宋"/>
          <w:b/>
          <w:bCs/>
          <w:w w:val="95"/>
          <w:kern w:val="2"/>
          <w:sz w:val="32"/>
          <w:szCs w:val="32"/>
          <w:u w:val="none"/>
          <w:lang w:val="en-US" w:eastAsia="zh-CN" w:bidi="ar-SA"/>
        </w:rPr>
        <w:t>七、对个人和家庭的补助：</w:t>
      </w:r>
      <w:r>
        <w:rPr>
          <w:rFonts w:hint="eastAsia" w:ascii="仿宋" w:hAnsi="仿宋" w:eastAsia="仿宋" w:cs="仿宋"/>
          <w:w w:val="95"/>
          <w:kern w:val="2"/>
          <w:sz w:val="32"/>
          <w:szCs w:val="32"/>
          <w:u w:val="none"/>
          <w:lang w:val="en-US" w:eastAsia="zh-CN" w:bidi="ar-SA"/>
        </w:rPr>
        <w:t>是指政府用于对个人和家庭的补助支出。</w:t>
      </w:r>
    </w:p>
    <w:p>
      <w:pPr>
        <w:keepNext w:val="0"/>
        <w:keepLines w:val="0"/>
        <w:pageBreakBefore w:val="0"/>
        <w:widowControl w:val="0"/>
        <w:numPr>
          <w:ilvl w:val="0"/>
          <w:numId w:val="0"/>
        </w:numPr>
        <w:pBdr>
          <w:bottom w:val="single" w:color="FFFFFF" w:sz="4" w:space="30"/>
        </w:pBdr>
        <w:kinsoku/>
        <w:wordWrap/>
        <w:overflowPunct/>
        <w:topLinePunct w:val="0"/>
        <w:autoSpaceDE/>
        <w:autoSpaceDN/>
        <w:bidi w:val="0"/>
        <w:adjustRightInd/>
        <w:snapToGrid w:val="0"/>
        <w:spacing w:line="560" w:lineRule="exact"/>
        <w:ind w:firstLine="611" w:firstLineChars="200"/>
        <w:textAlignment w:val="auto"/>
        <w:rPr>
          <w:rFonts w:hint="default" w:ascii="仿宋" w:hAnsi="仿宋" w:eastAsia="仿宋" w:cs="仿宋"/>
          <w:w w:val="95"/>
          <w:kern w:val="2"/>
          <w:sz w:val="32"/>
          <w:szCs w:val="32"/>
          <w:u w:val="none"/>
          <w:lang w:val="en-US" w:eastAsia="zh-CN" w:bidi="ar-SA"/>
        </w:rPr>
      </w:pPr>
      <w:r>
        <w:rPr>
          <w:rFonts w:hint="eastAsia" w:ascii="仿宋" w:hAnsi="仿宋" w:eastAsia="仿宋" w:cs="仿宋"/>
          <w:b/>
          <w:bCs/>
          <w:w w:val="95"/>
          <w:kern w:val="2"/>
          <w:sz w:val="32"/>
          <w:szCs w:val="32"/>
          <w:u w:val="none"/>
          <w:lang w:val="en-US" w:eastAsia="zh-CN" w:bidi="ar-SA"/>
        </w:rPr>
        <w:t>八、“三公”经费：</w:t>
      </w:r>
      <w:r>
        <w:rPr>
          <w:rFonts w:hint="eastAsia" w:ascii="仿宋" w:hAnsi="仿宋" w:eastAsia="仿宋" w:cs="仿宋"/>
          <w:w w:val="95"/>
          <w:kern w:val="2"/>
          <w:sz w:val="32"/>
          <w:szCs w:val="32"/>
          <w:u w:val="none"/>
          <w:lang w:val="en-US" w:eastAsia="zh-CN" w:bidi="ar-SA"/>
        </w:rPr>
        <w:t>指部门/单位用一般公共预算财政拨款安排的因公出国（境）费、公务用车购置及运行维护费和公务接待费。其中，因公出国（境）费反映部门/单位公务出国（境）的住宿费、旅费、伙食补助费、杂费、培训费等支出；公务用车购置及运行维护费反映部门/单位公务用车购置费、燃料费、维修费、过路过桥费、保险费、安全奖励费用等支出；公务接待费反映部门/单位按规定开支的各类公务接待（含外宾接待）支出。</w:t>
      </w:r>
    </w:p>
    <w:p>
      <w:pPr>
        <w:keepNext w:val="0"/>
        <w:keepLines w:val="0"/>
        <w:pageBreakBefore w:val="0"/>
        <w:widowControl w:val="0"/>
        <w:numPr>
          <w:ilvl w:val="0"/>
          <w:numId w:val="0"/>
        </w:numPr>
        <w:pBdr>
          <w:bottom w:val="single" w:color="FFFFFF" w:sz="4" w:space="30"/>
        </w:pBdr>
        <w:kinsoku/>
        <w:wordWrap/>
        <w:overflowPunct/>
        <w:topLinePunct w:val="0"/>
        <w:autoSpaceDE/>
        <w:autoSpaceDN/>
        <w:bidi w:val="0"/>
        <w:adjustRightInd/>
        <w:snapToGrid w:val="0"/>
        <w:spacing w:line="560" w:lineRule="exact"/>
        <w:ind w:firstLine="611" w:firstLineChars="200"/>
        <w:textAlignment w:val="auto"/>
        <w:rPr>
          <w:rFonts w:hint="eastAsia" w:ascii="方正小标宋简体" w:hAnsi="方正小标宋简体" w:eastAsia="方正小标宋简体" w:cs="方正小标宋简体"/>
          <w:b w:val="0"/>
          <w:bCs w:val="0"/>
          <w:sz w:val="36"/>
          <w:szCs w:val="36"/>
          <w:u w:val="none"/>
        </w:rPr>
      </w:pPr>
      <w:r>
        <w:rPr>
          <w:rFonts w:hint="eastAsia" w:ascii="仿宋" w:hAnsi="仿宋" w:eastAsia="仿宋" w:cs="仿宋"/>
          <w:b/>
          <w:bCs/>
          <w:w w:val="95"/>
          <w:kern w:val="2"/>
          <w:sz w:val="32"/>
          <w:szCs w:val="32"/>
          <w:u w:val="none"/>
          <w:lang w:val="en-US" w:eastAsia="zh-CN" w:bidi="ar-SA"/>
        </w:rPr>
        <w:t>九、机关运行经费：</w:t>
      </w:r>
      <w:r>
        <w:rPr>
          <w:rFonts w:hint="eastAsia" w:ascii="仿宋" w:hAnsi="仿宋" w:eastAsia="仿宋" w:cs="仿宋"/>
          <w:w w:val="95"/>
          <w:kern w:val="2"/>
          <w:sz w:val="32"/>
          <w:szCs w:val="32"/>
          <w:u w:val="none"/>
          <w:lang w:val="en-US" w:eastAsia="zh-CN" w:bidi="ar-SA"/>
        </w:rPr>
        <w:t>指部门/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pageBreakBefore w:val="0"/>
        <w:kinsoku/>
        <w:wordWrap/>
        <w:overflowPunct/>
        <w:topLinePunct w:val="0"/>
        <w:bidi w:val="0"/>
        <w:spacing w:line="560" w:lineRule="exact"/>
        <w:jc w:val="center"/>
        <w:textAlignment w:val="auto"/>
        <w:rPr>
          <w:rFonts w:ascii="方正小标宋简体" w:hAnsi="方正小标宋简体" w:eastAsia="方正小标宋简体" w:cs="方正小标宋简体"/>
          <w:b w:val="0"/>
          <w:bCs w:val="0"/>
          <w:sz w:val="36"/>
          <w:szCs w:val="36"/>
          <w:u w:val="none"/>
        </w:rPr>
      </w:pPr>
      <w:r>
        <w:rPr>
          <w:rFonts w:hint="eastAsia" w:ascii="方正小标宋简体" w:hAnsi="方正小标宋简体" w:eastAsia="方正小标宋简体" w:cs="方正小标宋简体"/>
          <w:b w:val="0"/>
          <w:bCs w:val="0"/>
          <w:sz w:val="36"/>
          <w:szCs w:val="36"/>
          <w:u w:val="none"/>
        </w:rPr>
        <w:t>第四部分</w:t>
      </w:r>
      <w:r>
        <w:rPr>
          <w:rFonts w:hint="eastAsia" w:ascii="仿宋" w:hAnsi="仿宋" w:eastAsia="仿宋" w:cs="仿宋"/>
          <w:b w:val="0"/>
          <w:bCs w:val="0"/>
          <w:sz w:val="36"/>
          <w:szCs w:val="36"/>
          <w:u w:val="none"/>
        </w:rPr>
        <w:t xml:space="preserve"> </w:t>
      </w:r>
      <w:r>
        <w:rPr>
          <w:rFonts w:hint="eastAsia" w:ascii="方正小标宋简体" w:hAnsi="方正小标宋简体" w:eastAsia="方正小标宋简体" w:cs="方正小标宋简体"/>
          <w:b w:val="0"/>
          <w:bCs w:val="0"/>
          <w:sz w:val="36"/>
          <w:szCs w:val="36"/>
          <w:u w:val="none"/>
        </w:rPr>
        <w:t>预算公开联系方式及信息反馈渠道</w:t>
      </w:r>
    </w:p>
    <w:p>
      <w:pPr>
        <w:pageBreakBefore w:val="0"/>
        <w:kinsoku/>
        <w:wordWrap/>
        <w:overflowPunct/>
        <w:topLinePunct w:val="0"/>
        <w:bidi w:val="0"/>
        <w:snapToGrid w:val="0"/>
        <w:spacing w:line="560" w:lineRule="exact"/>
        <w:textAlignment w:val="auto"/>
        <w:rPr>
          <w:rFonts w:hint="eastAsia" w:ascii="方正小标宋简体" w:hAnsi="方正小标宋简体" w:eastAsia="方正小标宋简体" w:cs="方正小标宋简体"/>
          <w:sz w:val="36"/>
          <w:szCs w:val="36"/>
          <w:u w:val="none"/>
        </w:rPr>
      </w:pPr>
    </w:p>
    <w:p>
      <w:pPr>
        <w:keepNext w:val="0"/>
        <w:keepLines w:val="0"/>
        <w:pageBreakBefore w:val="0"/>
        <w:widowControl w:val="0"/>
        <w:numPr>
          <w:ilvl w:val="0"/>
          <w:numId w:val="0"/>
        </w:numPr>
        <w:pBdr>
          <w:bottom w:val="single" w:color="FFFFFF" w:sz="4" w:space="30"/>
        </w:pBdr>
        <w:kinsoku/>
        <w:wordWrap/>
        <w:overflowPunct/>
        <w:topLinePunct w:val="0"/>
        <w:autoSpaceDE/>
        <w:autoSpaceDN/>
        <w:bidi w:val="0"/>
        <w:adjustRightInd/>
        <w:snapToGrid w:val="0"/>
        <w:spacing w:line="560" w:lineRule="exact"/>
        <w:ind w:firstLine="608" w:firstLineChars="200"/>
        <w:textAlignment w:val="auto"/>
        <w:rPr>
          <w:rFonts w:hint="eastAsia" w:ascii="仿宋" w:hAnsi="仿宋" w:eastAsia="仿宋" w:cs="仿宋"/>
          <w:w w:val="95"/>
          <w:kern w:val="2"/>
          <w:sz w:val="32"/>
          <w:szCs w:val="32"/>
          <w:u w:val="none"/>
          <w:lang w:val="en-US" w:eastAsia="zh-CN" w:bidi="ar-SA"/>
        </w:rPr>
      </w:pPr>
      <w:r>
        <w:rPr>
          <w:rFonts w:hint="eastAsia" w:ascii="仿宋" w:hAnsi="仿宋" w:eastAsia="仿宋" w:cs="仿宋"/>
          <w:w w:val="95"/>
          <w:kern w:val="2"/>
          <w:sz w:val="32"/>
          <w:szCs w:val="32"/>
          <w:u w:val="none"/>
          <w:lang w:val="en-US" w:eastAsia="zh-CN" w:bidi="ar-SA"/>
        </w:rPr>
        <w:t>本单位预算公开信息反馈和联系方式：</w:t>
      </w:r>
    </w:p>
    <w:p>
      <w:pPr>
        <w:keepNext w:val="0"/>
        <w:keepLines w:val="0"/>
        <w:pageBreakBefore w:val="0"/>
        <w:widowControl w:val="0"/>
        <w:numPr>
          <w:ilvl w:val="0"/>
          <w:numId w:val="0"/>
        </w:numPr>
        <w:pBdr>
          <w:bottom w:val="single" w:color="FFFFFF" w:sz="4" w:space="30"/>
        </w:pBdr>
        <w:kinsoku/>
        <w:wordWrap/>
        <w:overflowPunct/>
        <w:topLinePunct w:val="0"/>
        <w:autoSpaceDE/>
        <w:autoSpaceDN/>
        <w:bidi w:val="0"/>
        <w:adjustRightInd/>
        <w:snapToGrid w:val="0"/>
        <w:spacing w:line="560" w:lineRule="exact"/>
        <w:ind w:firstLine="608" w:firstLineChars="200"/>
        <w:textAlignment w:val="auto"/>
        <w:rPr>
          <w:rFonts w:hint="default" w:ascii="仿宋" w:hAnsi="仿宋" w:eastAsia="仿宋" w:cs="仿宋"/>
          <w:w w:val="95"/>
          <w:kern w:val="2"/>
          <w:sz w:val="32"/>
          <w:szCs w:val="32"/>
          <w:u w:val="none"/>
          <w:lang w:val="en-US" w:eastAsia="zh-CN" w:bidi="ar-SA"/>
        </w:rPr>
      </w:pPr>
      <w:r>
        <w:rPr>
          <w:rFonts w:hint="eastAsia" w:ascii="仿宋" w:hAnsi="仿宋" w:eastAsia="仿宋" w:cs="仿宋"/>
          <w:w w:val="95"/>
          <w:kern w:val="2"/>
          <w:sz w:val="32"/>
          <w:szCs w:val="32"/>
          <w:u w:val="none"/>
          <w:lang w:val="en-US" w:eastAsia="zh-CN" w:bidi="ar-SA"/>
        </w:rPr>
        <w:t>联系人：张万峰               联系电话：0472-5619523</w:t>
      </w:r>
    </w:p>
    <w:p>
      <w:pPr>
        <w:pStyle w:val="6"/>
        <w:pageBreakBefore w:val="0"/>
        <w:numPr>
          <w:ilvl w:val="0"/>
          <w:numId w:val="0"/>
        </w:numPr>
        <w:tabs>
          <w:tab w:val="left" w:pos="4392"/>
        </w:tabs>
        <w:kinsoku/>
        <w:wordWrap/>
        <w:overflowPunct/>
        <w:topLinePunct w:val="0"/>
        <w:bidi w:val="0"/>
        <w:spacing w:before="0" w:after="0" w:line="600" w:lineRule="exact"/>
        <w:jc w:val="center"/>
        <w:rPr>
          <w:rFonts w:hint="eastAsia" w:ascii="方正小标宋简体" w:hAnsi="方正小标宋简体" w:eastAsia="方正小标宋简体" w:cs="方正小标宋简体"/>
          <w:b w:val="0"/>
          <w:bCs w:val="0"/>
          <w:sz w:val="36"/>
          <w:szCs w:val="36"/>
          <w:u w:val="none"/>
        </w:rPr>
      </w:pPr>
      <w:r>
        <w:rPr>
          <w:rFonts w:hint="eastAsia" w:ascii="方正小标宋简体" w:hAnsi="方正小标宋简体" w:eastAsia="方正小标宋简体" w:cs="方正小标宋简体"/>
          <w:b w:val="0"/>
          <w:bCs w:val="0"/>
          <w:kern w:val="2"/>
          <w:sz w:val="36"/>
          <w:szCs w:val="36"/>
          <w:lang w:val="en-US" w:eastAsia="zh-CN" w:bidi="ar-SA"/>
        </w:rPr>
        <w:t>第五部分</w:t>
      </w:r>
      <w:r>
        <w:rPr>
          <w:rFonts w:hint="eastAsia" w:ascii="方正小标宋简体" w:hAnsi="方正小标宋简体" w:eastAsia="方正小标宋简体" w:cs="方正小标宋简体"/>
          <w:b w:val="0"/>
          <w:bCs w:val="0"/>
          <w:sz w:val="36"/>
          <w:szCs w:val="36"/>
          <w:u w:val="none"/>
        </w:rPr>
        <w:t xml:space="preserve"> </w:t>
      </w:r>
      <w:r>
        <w:rPr>
          <w:rFonts w:hint="eastAsia" w:ascii="方正小标宋简体" w:hAnsi="方正小标宋简体" w:eastAsia="方正小标宋简体" w:cs="方正小标宋简体"/>
          <w:b w:val="0"/>
          <w:bCs w:val="0"/>
          <w:sz w:val="36"/>
          <w:szCs w:val="36"/>
          <w:u w:val="none"/>
          <w:lang w:eastAsia="zh-CN"/>
        </w:rPr>
        <w:t>2024年度包头市口岸服务中心</w:t>
      </w:r>
      <w:r>
        <w:rPr>
          <w:rFonts w:hint="eastAsia" w:ascii="方正小标宋简体" w:hAnsi="方正小标宋简体" w:eastAsia="方正小标宋简体" w:cs="方正小标宋简体"/>
          <w:b w:val="0"/>
          <w:bCs w:val="0"/>
          <w:sz w:val="36"/>
          <w:szCs w:val="36"/>
          <w:u w:val="none"/>
        </w:rPr>
        <w:t>预算表</w:t>
      </w:r>
    </w:p>
    <w:p>
      <w:pPr>
        <w:numPr>
          <w:ilvl w:val="0"/>
          <w:numId w:val="0"/>
        </w:numPr>
      </w:pPr>
    </w:p>
    <w:p>
      <w:pPr>
        <w:pageBreakBefore w:val="0"/>
        <w:kinsoku/>
        <w:wordWrap/>
        <w:overflowPunct/>
        <w:topLinePunct w:val="0"/>
        <w:bidi w:val="0"/>
        <w:spacing w:line="600" w:lineRule="exact"/>
        <w:ind w:firstLine="600" w:firstLineChars="200"/>
        <w:rPr>
          <w:rFonts w:hint="eastAsia" w:eastAsia="仿宋_GB2312" w:cstheme="minorBidi"/>
          <w:sz w:val="30"/>
          <w:szCs w:val="30"/>
          <w:lang w:val="en-US" w:eastAsia="zh-CN"/>
        </w:rPr>
      </w:pPr>
      <w:r>
        <w:rPr>
          <w:rFonts w:hint="eastAsia" w:eastAsia="仿宋_GB2312" w:cstheme="minorBidi"/>
          <w:sz w:val="30"/>
          <w:szCs w:val="30"/>
          <w:lang w:val="en-US" w:eastAsia="zh-CN"/>
        </w:rPr>
        <w:t>见附件</w:t>
      </w:r>
    </w:p>
    <w:p>
      <w:pPr>
        <w:bidi w:val="0"/>
        <w:rPr>
          <w:rFonts w:hint="default" w:ascii="Times New Roman" w:hAnsi="Times New Roman" w:eastAsia="Courier New" w:cs="Times New Roman"/>
          <w:kern w:val="2"/>
          <w:sz w:val="21"/>
          <w:szCs w:val="21"/>
          <w:lang w:val="en-US" w:eastAsia="zh-CN" w:bidi="ar-SA"/>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sectPr>
      <w:footerReference r:id="rId5" w:type="default"/>
      <w:pgSz w:w="11910" w:h="16840"/>
      <w:pgMar w:top="1580" w:right="1080" w:bottom="280" w:left="1080" w:header="720" w:footer="720" w:gutter="0"/>
      <w:pgNumType w:fmt="decimal"/>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0AFF" w:usb1="00007843" w:usb2="00000001" w:usb3="00000000" w:csb0="400001BF" w:csb1="DFF7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4575A72A-0029-479D-AF6E-A83C7E49AD3F}"/>
  </w:font>
  <w:font w:name="黑体">
    <w:panose1 w:val="02010609060101010101"/>
    <w:charset w:val="86"/>
    <w:family w:val="auto"/>
    <w:pitch w:val="default"/>
    <w:sig w:usb0="800002BF" w:usb1="38CF7CFA" w:usb2="00000016" w:usb3="00000000" w:csb0="00040001" w:csb1="00000000"/>
    <w:embedRegular r:id="rId2" w:fontKey="{14375768-5EEF-4F89-9366-6D7A861504A0}"/>
  </w:font>
  <w:font w:name="Courier New">
    <w:panose1 w:val="02070309020205020404"/>
    <w:charset w:val="01"/>
    <w:family w:val="modern"/>
    <w:pitch w:val="default"/>
    <w:sig w:usb0="E0002AFF" w:usb1="C0007843" w:usb2="00000009" w:usb3="00000000" w:csb0="400001FF" w:csb1="FFFF0000"/>
    <w:embedRegular r:id="rId3" w:fontKey="{298E6C00-75D4-43F9-B5A2-CBE3433AEBB2}"/>
  </w:font>
  <w:font w:name="Symbol">
    <w:panose1 w:val="05050102010706020507"/>
    <w:charset w:val="02"/>
    <w:family w:val="roman"/>
    <w:pitch w:val="default"/>
    <w:sig w:usb0="00000000" w:usb1="00000000" w:usb2="00000000" w:usb3="00000000" w:csb0="80000000" w:csb1="00000000"/>
    <w:embedRegular r:id="rId4" w:fontKey="{62EF5FFC-FDF4-4008-A4A0-9E450434B1B1}"/>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roman"/>
    <w:pitch w:val="default"/>
    <w:sig w:usb0="00000001" w:usb1="080E0000" w:usb2="00000000" w:usb3="00000000" w:csb0="00040000" w:csb1="00000000"/>
    <w:embedRegular r:id="rId5" w:fontKey="{19B782CB-DD31-4BCC-8CA3-B0C07DE562AA}"/>
  </w:font>
  <w:font w:name="等线">
    <w:altName w:val="Arial Unicode MS"/>
    <w:panose1 w:val="02010600030101010101"/>
    <w:charset w:val="86"/>
    <w:family w:val="auto"/>
    <w:pitch w:val="default"/>
    <w:sig w:usb0="00000000" w:usb1="00000000" w:usb2="00000016" w:usb3="00000000" w:csb0="0004000F" w:csb1="00000000"/>
  </w:font>
  <w:font w:name="Helvetica">
    <w:altName w:val="Arial"/>
    <w:panose1 w:val="020B0504020202030204"/>
    <w:charset w:val="00"/>
    <w:family w:val="modern"/>
    <w:pitch w:val="default"/>
    <w:sig w:usb0="00000000" w:usb1="00000000" w:usb2="00000000" w:usb3="00000000" w:csb0="00000093" w:csb1="00000000"/>
  </w:font>
  <w:font w:name="Courier">
    <w:altName w:val="Courier New"/>
    <w:panose1 w:val="02060409020205020404"/>
    <w:charset w:val="00"/>
    <w:family w:val="roman"/>
    <w:pitch w:val="default"/>
    <w:sig w:usb0="00000000" w:usb1="00000000" w:usb2="00000000" w:usb3="00000000" w:csb0="00000093" w:csb1="00000000"/>
  </w:font>
  <w:font w:name="Tms Rmn">
    <w:altName w:val="Segoe Print"/>
    <w:panose1 w:val="02020603040505020304"/>
    <w:charset w:val="00"/>
    <w:family w:val="decorative"/>
    <w:pitch w:val="default"/>
    <w:sig w:usb0="00000000" w:usb1="00000000" w:usb2="00000000" w:usb3="00000000" w:csb0="00000001" w:csb1="00000000"/>
  </w:font>
  <w:font w:name="Helv">
    <w:altName w:val="Arial"/>
    <w:panose1 w:val="020B0604020202030204"/>
    <w:charset w:val="00"/>
    <w:family w:val="modern"/>
    <w:pitch w:val="default"/>
    <w:sig w:usb0="00000000" w:usb1="00000000" w:usb2="00000000" w:usb3="00000000" w:csb0="00000001" w:csb1="00000000"/>
  </w:font>
  <w:font w:name="New York">
    <w:altName w:val="Times New Roman"/>
    <w:panose1 w:val="02040503060506020304"/>
    <w:charset w:val="00"/>
    <w:family w:val="decorative"/>
    <w:pitch w:val="default"/>
    <w:sig w:usb0="00000000" w:usb1="00000000" w:usb2="00000000" w:usb3="00000000" w:csb0="00000001" w:csb1="00000000"/>
  </w:font>
  <w:font w:name="Arial Unicode MS">
    <w:panose1 w:val="020B0604020202020204"/>
    <w:charset w:val="86"/>
    <w:family w:val="modern"/>
    <w:pitch w:val="default"/>
    <w:sig w:usb0="FFFFFFFF" w:usb1="E9FFFFFF" w:usb2="0000003F" w:usb3="00000000" w:csb0="603F01FF" w:csb1="FFFF0000"/>
  </w:font>
  <w:font w:name="方正小标宋简体">
    <w:panose1 w:val="03000509000000000000"/>
    <w:charset w:val="86"/>
    <w:family w:val="script"/>
    <w:pitch w:val="default"/>
    <w:sig w:usb0="00000001" w:usb1="080E0000" w:usb2="00000000" w:usb3="00000000" w:csb0="00040000" w:csb1="00000000"/>
    <w:embedRegular r:id="rId6" w:fontKey="{C66213A4-1AD2-4279-9843-2FCEDE26C622}"/>
  </w:font>
  <w:font w:name="仿宋">
    <w:panose1 w:val="02010609060101010101"/>
    <w:charset w:val="86"/>
    <w:family w:val="auto"/>
    <w:pitch w:val="default"/>
    <w:sig w:usb0="800002BF" w:usb1="38CF7CFA" w:usb2="00000016" w:usb3="00000000" w:csb0="00040001" w:csb1="00000000"/>
    <w:embedRegular r:id="rId7" w:fontKey="{436A05A0-CE1F-4896-8AAC-87E98A61955E}"/>
  </w:font>
  <w:font w:name="楷体">
    <w:panose1 w:val="02010609060101010101"/>
    <w:charset w:val="86"/>
    <w:family w:val="roman"/>
    <w:pitch w:val="default"/>
    <w:sig w:usb0="800002BF" w:usb1="38CF7CFA" w:usb2="00000016" w:usb3="00000000" w:csb0="00040001" w:csb1="00000000"/>
    <w:embedRegular r:id="rId8" w:fontKey="{76F958F1-EB40-4549-BE2B-A4793FB100A6}"/>
  </w:font>
  <w:font w:name="等线">
    <w:altName w:val="Arial Unicode MS"/>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tabs>
        <w:tab w:val="clear" w:pos="4153"/>
      </w:tabs>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296"/>
      <w:rPr>
        <w:rFonts w:ascii="Times New Roman" w:hAnsi="Times New Roman" w:eastAsia="Times New Roman" w:cs="Times New Roman"/>
        <w:sz w:val="17"/>
        <w:szCs w:val="17"/>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1905</wp:posOffset>
              </wp:positionV>
              <wp:extent cx="5544185" cy="6350"/>
              <wp:effectExtent l="0" t="0" r="0" b="0"/>
              <wp:wrapNone/>
              <wp:docPr id="2" name="矩形 2"/>
              <wp:cNvGraphicFramePr/>
              <a:graphic xmlns:a="http://schemas.openxmlformats.org/drawingml/2006/main">
                <a:graphicData uri="http://schemas.microsoft.com/office/word/2010/wordprocessingShape">
                  <wps:wsp>
                    <wps:cNvSpPr/>
                    <wps:spPr>
                      <a:xfrm>
                        <a:off x="0" y="0"/>
                        <a:ext cx="5544185" cy="635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0pt;margin-top:0.15pt;height:0.5pt;width:436.55pt;z-index:251660288;mso-width-relative:page;mso-height-relative:page;" fillcolor="#FFFFFF" filled="t" stroked="f" coordsize="21600,21600" o:gfxdata="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KAB0yDSAAAA&#10;AwEAAA8AAAAAAAAAAQAgAAAAIgAAAGRycy9kb3ducmV2LnhtbFBLAQIUABQAAAAIAIdO4kAqYexF&#10;sQEAAF0DAAAOAAAAAAAAAAEAIAAAACEBAABkcnMvZTJvRG9jLnhtbFBLBQYAAAAABgAGAFkBAABE&#10;BQAAAAA=&#10;">
              <v:fill on="t" focussize="0,0"/>
              <v:stroke on="f"/>
              <v:imagedata o:title=""/>
              <o:lock v:ext="edit" aspectratio="f"/>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1MDVmNmVmNjIxNzE3NDYyYWMzYjgxZWJiY2U1OWUifQ=="/>
  </w:docVars>
  <w:rsids>
    <w:rsidRoot w:val="00172A27"/>
    <w:rsid w:val="00000CBF"/>
    <w:rsid w:val="000034CD"/>
    <w:rsid w:val="00003B87"/>
    <w:rsid w:val="000106AF"/>
    <w:rsid w:val="00010F09"/>
    <w:rsid w:val="00010F57"/>
    <w:rsid w:val="00014729"/>
    <w:rsid w:val="000168E2"/>
    <w:rsid w:val="00016E30"/>
    <w:rsid w:val="0001778D"/>
    <w:rsid w:val="00023930"/>
    <w:rsid w:val="0002537D"/>
    <w:rsid w:val="000267C9"/>
    <w:rsid w:val="000316D6"/>
    <w:rsid w:val="00034C3D"/>
    <w:rsid w:val="00035935"/>
    <w:rsid w:val="00035BD9"/>
    <w:rsid w:val="00037650"/>
    <w:rsid w:val="000408B3"/>
    <w:rsid w:val="000409C6"/>
    <w:rsid w:val="00040A7B"/>
    <w:rsid w:val="0004437D"/>
    <w:rsid w:val="00044D5A"/>
    <w:rsid w:val="000517C8"/>
    <w:rsid w:val="00052722"/>
    <w:rsid w:val="00052AB3"/>
    <w:rsid w:val="000530B5"/>
    <w:rsid w:val="000547DF"/>
    <w:rsid w:val="0005634A"/>
    <w:rsid w:val="00056E21"/>
    <w:rsid w:val="00063642"/>
    <w:rsid w:val="00065474"/>
    <w:rsid w:val="00071596"/>
    <w:rsid w:val="00073EED"/>
    <w:rsid w:val="00080B1C"/>
    <w:rsid w:val="00082025"/>
    <w:rsid w:val="000843F5"/>
    <w:rsid w:val="00084B87"/>
    <w:rsid w:val="00084C61"/>
    <w:rsid w:val="00084EE5"/>
    <w:rsid w:val="00085C93"/>
    <w:rsid w:val="00087A5E"/>
    <w:rsid w:val="00090945"/>
    <w:rsid w:val="00094212"/>
    <w:rsid w:val="00094289"/>
    <w:rsid w:val="00094579"/>
    <w:rsid w:val="0009486F"/>
    <w:rsid w:val="00097AD5"/>
    <w:rsid w:val="00097E70"/>
    <w:rsid w:val="000A3463"/>
    <w:rsid w:val="000A3CBA"/>
    <w:rsid w:val="000B179A"/>
    <w:rsid w:val="000B19DD"/>
    <w:rsid w:val="000B271C"/>
    <w:rsid w:val="000B3090"/>
    <w:rsid w:val="000B395D"/>
    <w:rsid w:val="000B4C87"/>
    <w:rsid w:val="000B5E2F"/>
    <w:rsid w:val="000B75C9"/>
    <w:rsid w:val="000C2547"/>
    <w:rsid w:val="000C2657"/>
    <w:rsid w:val="000C3B4A"/>
    <w:rsid w:val="000C7570"/>
    <w:rsid w:val="000D1A18"/>
    <w:rsid w:val="000D4710"/>
    <w:rsid w:val="000E093A"/>
    <w:rsid w:val="000E597B"/>
    <w:rsid w:val="000E63BF"/>
    <w:rsid w:val="000F0BD4"/>
    <w:rsid w:val="000F344F"/>
    <w:rsid w:val="000F6C2D"/>
    <w:rsid w:val="000F7468"/>
    <w:rsid w:val="000F746A"/>
    <w:rsid w:val="00102140"/>
    <w:rsid w:val="00106E16"/>
    <w:rsid w:val="001114EC"/>
    <w:rsid w:val="00112A96"/>
    <w:rsid w:val="001133DF"/>
    <w:rsid w:val="00114F9E"/>
    <w:rsid w:val="001151B8"/>
    <w:rsid w:val="00122854"/>
    <w:rsid w:val="00122B22"/>
    <w:rsid w:val="00123EEA"/>
    <w:rsid w:val="00126508"/>
    <w:rsid w:val="001329DF"/>
    <w:rsid w:val="001342A7"/>
    <w:rsid w:val="001357A3"/>
    <w:rsid w:val="00142E3E"/>
    <w:rsid w:val="001432CD"/>
    <w:rsid w:val="0014381D"/>
    <w:rsid w:val="0014464F"/>
    <w:rsid w:val="00152205"/>
    <w:rsid w:val="00153AFD"/>
    <w:rsid w:val="00155332"/>
    <w:rsid w:val="00155E13"/>
    <w:rsid w:val="00157214"/>
    <w:rsid w:val="001602D6"/>
    <w:rsid w:val="00163244"/>
    <w:rsid w:val="00163F67"/>
    <w:rsid w:val="00172A27"/>
    <w:rsid w:val="001735FD"/>
    <w:rsid w:val="001738CA"/>
    <w:rsid w:val="00175368"/>
    <w:rsid w:val="001802D6"/>
    <w:rsid w:val="00191536"/>
    <w:rsid w:val="00193879"/>
    <w:rsid w:val="001940E1"/>
    <w:rsid w:val="00196BA0"/>
    <w:rsid w:val="0019719A"/>
    <w:rsid w:val="001A02B5"/>
    <w:rsid w:val="001A1BDF"/>
    <w:rsid w:val="001A2F89"/>
    <w:rsid w:val="001A3158"/>
    <w:rsid w:val="001A3CE2"/>
    <w:rsid w:val="001A5241"/>
    <w:rsid w:val="001B012D"/>
    <w:rsid w:val="001B0DDF"/>
    <w:rsid w:val="001B1449"/>
    <w:rsid w:val="001B3621"/>
    <w:rsid w:val="001B4457"/>
    <w:rsid w:val="001B5368"/>
    <w:rsid w:val="001B5EC9"/>
    <w:rsid w:val="001B7FCD"/>
    <w:rsid w:val="001C0CDF"/>
    <w:rsid w:val="001C4010"/>
    <w:rsid w:val="001C6BF1"/>
    <w:rsid w:val="001D3C7E"/>
    <w:rsid w:val="001D6D0B"/>
    <w:rsid w:val="001D7958"/>
    <w:rsid w:val="001E0433"/>
    <w:rsid w:val="001E0815"/>
    <w:rsid w:val="001E3429"/>
    <w:rsid w:val="001E68D8"/>
    <w:rsid w:val="001E76DB"/>
    <w:rsid w:val="001F4C1E"/>
    <w:rsid w:val="001F6B7A"/>
    <w:rsid w:val="00200204"/>
    <w:rsid w:val="002015D3"/>
    <w:rsid w:val="002039F1"/>
    <w:rsid w:val="002044DF"/>
    <w:rsid w:val="002049F7"/>
    <w:rsid w:val="0021312E"/>
    <w:rsid w:val="0021380D"/>
    <w:rsid w:val="0021383F"/>
    <w:rsid w:val="00214BEE"/>
    <w:rsid w:val="0021585B"/>
    <w:rsid w:val="0021600A"/>
    <w:rsid w:val="0021726C"/>
    <w:rsid w:val="00217770"/>
    <w:rsid w:val="00220C2A"/>
    <w:rsid w:val="00221E65"/>
    <w:rsid w:val="002240B1"/>
    <w:rsid w:val="0022415F"/>
    <w:rsid w:val="00224835"/>
    <w:rsid w:val="00224F3D"/>
    <w:rsid w:val="00225C23"/>
    <w:rsid w:val="00233D9B"/>
    <w:rsid w:val="00236FA6"/>
    <w:rsid w:val="00240094"/>
    <w:rsid w:val="00241B6B"/>
    <w:rsid w:val="002431E6"/>
    <w:rsid w:val="0024416D"/>
    <w:rsid w:val="00244B90"/>
    <w:rsid w:val="00245FFD"/>
    <w:rsid w:val="0025052F"/>
    <w:rsid w:val="0025133B"/>
    <w:rsid w:val="002519F2"/>
    <w:rsid w:val="00251E52"/>
    <w:rsid w:val="00252024"/>
    <w:rsid w:val="00252295"/>
    <w:rsid w:val="002604EC"/>
    <w:rsid w:val="0026390E"/>
    <w:rsid w:val="00266811"/>
    <w:rsid w:val="00266E55"/>
    <w:rsid w:val="002670EA"/>
    <w:rsid w:val="00270D49"/>
    <w:rsid w:val="002742F8"/>
    <w:rsid w:val="002748BD"/>
    <w:rsid w:val="00274A4D"/>
    <w:rsid w:val="00274E33"/>
    <w:rsid w:val="00286355"/>
    <w:rsid w:val="00286B1A"/>
    <w:rsid w:val="00287D92"/>
    <w:rsid w:val="00290958"/>
    <w:rsid w:val="00291FC4"/>
    <w:rsid w:val="002926AE"/>
    <w:rsid w:val="00293A42"/>
    <w:rsid w:val="00293F3B"/>
    <w:rsid w:val="00294D1F"/>
    <w:rsid w:val="002A1A3B"/>
    <w:rsid w:val="002A25F0"/>
    <w:rsid w:val="002A38DC"/>
    <w:rsid w:val="002A3F94"/>
    <w:rsid w:val="002A4CC2"/>
    <w:rsid w:val="002B0E96"/>
    <w:rsid w:val="002B21CC"/>
    <w:rsid w:val="002B3658"/>
    <w:rsid w:val="002B37C5"/>
    <w:rsid w:val="002B7E88"/>
    <w:rsid w:val="002D028A"/>
    <w:rsid w:val="002D2D64"/>
    <w:rsid w:val="002D3180"/>
    <w:rsid w:val="002D4EA7"/>
    <w:rsid w:val="002D6124"/>
    <w:rsid w:val="002D6167"/>
    <w:rsid w:val="002D70B8"/>
    <w:rsid w:val="002D7791"/>
    <w:rsid w:val="002D7AEB"/>
    <w:rsid w:val="002D7FE5"/>
    <w:rsid w:val="002F0AEA"/>
    <w:rsid w:val="002F0CEB"/>
    <w:rsid w:val="002F1022"/>
    <w:rsid w:val="002F2712"/>
    <w:rsid w:val="002F73C2"/>
    <w:rsid w:val="002F7AA1"/>
    <w:rsid w:val="0030209D"/>
    <w:rsid w:val="00304A27"/>
    <w:rsid w:val="0030703E"/>
    <w:rsid w:val="00307477"/>
    <w:rsid w:val="003115CC"/>
    <w:rsid w:val="00313750"/>
    <w:rsid w:val="00316EA0"/>
    <w:rsid w:val="00321A3C"/>
    <w:rsid w:val="0033160F"/>
    <w:rsid w:val="00331DB0"/>
    <w:rsid w:val="003337F4"/>
    <w:rsid w:val="00334CE7"/>
    <w:rsid w:val="00335EEB"/>
    <w:rsid w:val="00337D32"/>
    <w:rsid w:val="003406D1"/>
    <w:rsid w:val="0034673B"/>
    <w:rsid w:val="00351751"/>
    <w:rsid w:val="00351CBC"/>
    <w:rsid w:val="00352172"/>
    <w:rsid w:val="00355342"/>
    <w:rsid w:val="00356692"/>
    <w:rsid w:val="00356F2E"/>
    <w:rsid w:val="003575C9"/>
    <w:rsid w:val="0036025D"/>
    <w:rsid w:val="00361339"/>
    <w:rsid w:val="003617B4"/>
    <w:rsid w:val="003631E0"/>
    <w:rsid w:val="003655C7"/>
    <w:rsid w:val="003666F6"/>
    <w:rsid w:val="00367F5C"/>
    <w:rsid w:val="00367FEB"/>
    <w:rsid w:val="00370C21"/>
    <w:rsid w:val="0037119D"/>
    <w:rsid w:val="00371460"/>
    <w:rsid w:val="00371E38"/>
    <w:rsid w:val="00374C99"/>
    <w:rsid w:val="00374EC2"/>
    <w:rsid w:val="00375717"/>
    <w:rsid w:val="00377F83"/>
    <w:rsid w:val="00385C9F"/>
    <w:rsid w:val="00385D9C"/>
    <w:rsid w:val="00386A78"/>
    <w:rsid w:val="00387B4F"/>
    <w:rsid w:val="00387FDC"/>
    <w:rsid w:val="003900E4"/>
    <w:rsid w:val="003908AD"/>
    <w:rsid w:val="003944BB"/>
    <w:rsid w:val="003945B5"/>
    <w:rsid w:val="00394D62"/>
    <w:rsid w:val="00395D0B"/>
    <w:rsid w:val="00397362"/>
    <w:rsid w:val="003A003A"/>
    <w:rsid w:val="003A1185"/>
    <w:rsid w:val="003A3E3C"/>
    <w:rsid w:val="003A4972"/>
    <w:rsid w:val="003B4A14"/>
    <w:rsid w:val="003B5570"/>
    <w:rsid w:val="003C31AB"/>
    <w:rsid w:val="003C35CD"/>
    <w:rsid w:val="003C43EA"/>
    <w:rsid w:val="003C4F65"/>
    <w:rsid w:val="003C53D2"/>
    <w:rsid w:val="003C7866"/>
    <w:rsid w:val="003D0971"/>
    <w:rsid w:val="003D3C90"/>
    <w:rsid w:val="003D5CBF"/>
    <w:rsid w:val="003E02C3"/>
    <w:rsid w:val="003E18C9"/>
    <w:rsid w:val="003F567D"/>
    <w:rsid w:val="003F7782"/>
    <w:rsid w:val="00400588"/>
    <w:rsid w:val="00406AC9"/>
    <w:rsid w:val="0041073B"/>
    <w:rsid w:val="0041167C"/>
    <w:rsid w:val="004138A8"/>
    <w:rsid w:val="0041426C"/>
    <w:rsid w:val="00416FDF"/>
    <w:rsid w:val="00417B37"/>
    <w:rsid w:val="0042054B"/>
    <w:rsid w:val="00420D95"/>
    <w:rsid w:val="004253B8"/>
    <w:rsid w:val="00425ED7"/>
    <w:rsid w:val="00426740"/>
    <w:rsid w:val="00427C2F"/>
    <w:rsid w:val="0043128C"/>
    <w:rsid w:val="00434D44"/>
    <w:rsid w:val="0044228B"/>
    <w:rsid w:val="00442688"/>
    <w:rsid w:val="00442AED"/>
    <w:rsid w:val="00442D5D"/>
    <w:rsid w:val="00444B82"/>
    <w:rsid w:val="004459F0"/>
    <w:rsid w:val="00454633"/>
    <w:rsid w:val="00454737"/>
    <w:rsid w:val="00455BF8"/>
    <w:rsid w:val="00456DB3"/>
    <w:rsid w:val="00456EAD"/>
    <w:rsid w:val="004604FE"/>
    <w:rsid w:val="004611A8"/>
    <w:rsid w:val="00461737"/>
    <w:rsid w:val="00467117"/>
    <w:rsid w:val="00467D70"/>
    <w:rsid w:val="00467DC5"/>
    <w:rsid w:val="004702DB"/>
    <w:rsid w:val="00473D33"/>
    <w:rsid w:val="004769DB"/>
    <w:rsid w:val="00481EB5"/>
    <w:rsid w:val="00482B89"/>
    <w:rsid w:val="004833E7"/>
    <w:rsid w:val="00483401"/>
    <w:rsid w:val="00491B17"/>
    <w:rsid w:val="004931F8"/>
    <w:rsid w:val="00494023"/>
    <w:rsid w:val="004967F7"/>
    <w:rsid w:val="00497241"/>
    <w:rsid w:val="004A1F81"/>
    <w:rsid w:val="004A20B6"/>
    <w:rsid w:val="004A2789"/>
    <w:rsid w:val="004A2DF3"/>
    <w:rsid w:val="004A2FCA"/>
    <w:rsid w:val="004A3875"/>
    <w:rsid w:val="004A7AF4"/>
    <w:rsid w:val="004B048E"/>
    <w:rsid w:val="004B143B"/>
    <w:rsid w:val="004B174D"/>
    <w:rsid w:val="004B5933"/>
    <w:rsid w:val="004C500C"/>
    <w:rsid w:val="004C5FFC"/>
    <w:rsid w:val="004C74F7"/>
    <w:rsid w:val="004D1253"/>
    <w:rsid w:val="004D158E"/>
    <w:rsid w:val="004D281F"/>
    <w:rsid w:val="004D2861"/>
    <w:rsid w:val="004D5666"/>
    <w:rsid w:val="004D6BB1"/>
    <w:rsid w:val="004D7A03"/>
    <w:rsid w:val="004D7DBF"/>
    <w:rsid w:val="004E0454"/>
    <w:rsid w:val="004E06ED"/>
    <w:rsid w:val="004E1457"/>
    <w:rsid w:val="004E4A43"/>
    <w:rsid w:val="004E4BBF"/>
    <w:rsid w:val="004F2CDD"/>
    <w:rsid w:val="004F4D87"/>
    <w:rsid w:val="004F55CD"/>
    <w:rsid w:val="004F58A0"/>
    <w:rsid w:val="004F5F12"/>
    <w:rsid w:val="004F6692"/>
    <w:rsid w:val="004F77B0"/>
    <w:rsid w:val="00501EEF"/>
    <w:rsid w:val="00502A31"/>
    <w:rsid w:val="00505021"/>
    <w:rsid w:val="00506790"/>
    <w:rsid w:val="00510EFF"/>
    <w:rsid w:val="00511B53"/>
    <w:rsid w:val="005146EE"/>
    <w:rsid w:val="005160E3"/>
    <w:rsid w:val="005161E3"/>
    <w:rsid w:val="00516B40"/>
    <w:rsid w:val="005203F0"/>
    <w:rsid w:val="00521E09"/>
    <w:rsid w:val="00525EB0"/>
    <w:rsid w:val="00535551"/>
    <w:rsid w:val="0053664B"/>
    <w:rsid w:val="00540718"/>
    <w:rsid w:val="00540B71"/>
    <w:rsid w:val="00541F46"/>
    <w:rsid w:val="0054292B"/>
    <w:rsid w:val="005440BF"/>
    <w:rsid w:val="0054661A"/>
    <w:rsid w:val="00552574"/>
    <w:rsid w:val="00554DCA"/>
    <w:rsid w:val="00556C59"/>
    <w:rsid w:val="00557E0E"/>
    <w:rsid w:val="005604D0"/>
    <w:rsid w:val="005614CC"/>
    <w:rsid w:val="005615F3"/>
    <w:rsid w:val="0056225D"/>
    <w:rsid w:val="00562E92"/>
    <w:rsid w:val="005639FA"/>
    <w:rsid w:val="0056420B"/>
    <w:rsid w:val="00564ABA"/>
    <w:rsid w:val="005653F5"/>
    <w:rsid w:val="00571BB6"/>
    <w:rsid w:val="00572A14"/>
    <w:rsid w:val="0057572A"/>
    <w:rsid w:val="00576A02"/>
    <w:rsid w:val="0058236D"/>
    <w:rsid w:val="00582BA2"/>
    <w:rsid w:val="00583D19"/>
    <w:rsid w:val="0058789A"/>
    <w:rsid w:val="00593F60"/>
    <w:rsid w:val="00594E72"/>
    <w:rsid w:val="00594E89"/>
    <w:rsid w:val="00595732"/>
    <w:rsid w:val="005957A8"/>
    <w:rsid w:val="005A0020"/>
    <w:rsid w:val="005A0592"/>
    <w:rsid w:val="005A09E0"/>
    <w:rsid w:val="005A1BC7"/>
    <w:rsid w:val="005A7383"/>
    <w:rsid w:val="005B155E"/>
    <w:rsid w:val="005B1651"/>
    <w:rsid w:val="005B1D05"/>
    <w:rsid w:val="005B544A"/>
    <w:rsid w:val="005B570B"/>
    <w:rsid w:val="005B5ECD"/>
    <w:rsid w:val="005C5D3B"/>
    <w:rsid w:val="005C773C"/>
    <w:rsid w:val="005D2118"/>
    <w:rsid w:val="005D476C"/>
    <w:rsid w:val="005D5AEF"/>
    <w:rsid w:val="005E031D"/>
    <w:rsid w:val="005E2226"/>
    <w:rsid w:val="005F007E"/>
    <w:rsid w:val="005F22D5"/>
    <w:rsid w:val="005F2659"/>
    <w:rsid w:val="005F3198"/>
    <w:rsid w:val="005F5238"/>
    <w:rsid w:val="005F5B86"/>
    <w:rsid w:val="00603A8C"/>
    <w:rsid w:val="00607135"/>
    <w:rsid w:val="00610D76"/>
    <w:rsid w:val="0061425B"/>
    <w:rsid w:val="00615CCA"/>
    <w:rsid w:val="00616504"/>
    <w:rsid w:val="00616551"/>
    <w:rsid w:val="00617C3C"/>
    <w:rsid w:val="00623384"/>
    <w:rsid w:val="006236AD"/>
    <w:rsid w:val="0063195F"/>
    <w:rsid w:val="00632944"/>
    <w:rsid w:val="006355A9"/>
    <w:rsid w:val="00637A4F"/>
    <w:rsid w:val="00641CD5"/>
    <w:rsid w:val="00642BB6"/>
    <w:rsid w:val="00644031"/>
    <w:rsid w:val="00644FBC"/>
    <w:rsid w:val="00647134"/>
    <w:rsid w:val="00652DB9"/>
    <w:rsid w:val="0065703E"/>
    <w:rsid w:val="006575E7"/>
    <w:rsid w:val="00657673"/>
    <w:rsid w:val="00661E32"/>
    <w:rsid w:val="00662CCA"/>
    <w:rsid w:val="00662EC6"/>
    <w:rsid w:val="00662F26"/>
    <w:rsid w:val="00665B56"/>
    <w:rsid w:val="006720DF"/>
    <w:rsid w:val="00672743"/>
    <w:rsid w:val="00681E9C"/>
    <w:rsid w:val="00682B2E"/>
    <w:rsid w:val="00683341"/>
    <w:rsid w:val="006853C1"/>
    <w:rsid w:val="0068695A"/>
    <w:rsid w:val="00686C54"/>
    <w:rsid w:val="00687D34"/>
    <w:rsid w:val="00691B56"/>
    <w:rsid w:val="00691CC7"/>
    <w:rsid w:val="00691D88"/>
    <w:rsid w:val="00693C36"/>
    <w:rsid w:val="0069508B"/>
    <w:rsid w:val="00695904"/>
    <w:rsid w:val="006966EC"/>
    <w:rsid w:val="0069730F"/>
    <w:rsid w:val="00697930"/>
    <w:rsid w:val="006A0A1B"/>
    <w:rsid w:val="006A1B40"/>
    <w:rsid w:val="006A29F4"/>
    <w:rsid w:val="006A33FD"/>
    <w:rsid w:val="006A4D49"/>
    <w:rsid w:val="006A5098"/>
    <w:rsid w:val="006A623D"/>
    <w:rsid w:val="006B1149"/>
    <w:rsid w:val="006B1F4E"/>
    <w:rsid w:val="006B35D8"/>
    <w:rsid w:val="006B5EC7"/>
    <w:rsid w:val="006B6C41"/>
    <w:rsid w:val="006C0F17"/>
    <w:rsid w:val="006C3341"/>
    <w:rsid w:val="006C3359"/>
    <w:rsid w:val="006C4A23"/>
    <w:rsid w:val="006C5697"/>
    <w:rsid w:val="006C6FF2"/>
    <w:rsid w:val="006C79FA"/>
    <w:rsid w:val="006C7ECE"/>
    <w:rsid w:val="006D10E1"/>
    <w:rsid w:val="006D3BB4"/>
    <w:rsid w:val="006D4EAB"/>
    <w:rsid w:val="006F04BC"/>
    <w:rsid w:val="006F520F"/>
    <w:rsid w:val="00700A16"/>
    <w:rsid w:val="00701E0C"/>
    <w:rsid w:val="0070236E"/>
    <w:rsid w:val="00702E1F"/>
    <w:rsid w:val="00705D96"/>
    <w:rsid w:val="00706BD6"/>
    <w:rsid w:val="00710B15"/>
    <w:rsid w:val="00710DBC"/>
    <w:rsid w:val="00710F2F"/>
    <w:rsid w:val="00711981"/>
    <w:rsid w:val="00712513"/>
    <w:rsid w:val="00714FCB"/>
    <w:rsid w:val="00716714"/>
    <w:rsid w:val="00717855"/>
    <w:rsid w:val="007208BC"/>
    <w:rsid w:val="007223AD"/>
    <w:rsid w:val="0072313B"/>
    <w:rsid w:val="0073016A"/>
    <w:rsid w:val="007319CE"/>
    <w:rsid w:val="0073502E"/>
    <w:rsid w:val="00735453"/>
    <w:rsid w:val="0074153A"/>
    <w:rsid w:val="00741A58"/>
    <w:rsid w:val="007438FA"/>
    <w:rsid w:val="007444F9"/>
    <w:rsid w:val="00745662"/>
    <w:rsid w:val="00746BB0"/>
    <w:rsid w:val="007500F5"/>
    <w:rsid w:val="007503B4"/>
    <w:rsid w:val="00751B12"/>
    <w:rsid w:val="007525B4"/>
    <w:rsid w:val="0075361E"/>
    <w:rsid w:val="00755B39"/>
    <w:rsid w:val="00756505"/>
    <w:rsid w:val="007602DD"/>
    <w:rsid w:val="00760CD7"/>
    <w:rsid w:val="0076688E"/>
    <w:rsid w:val="007720CC"/>
    <w:rsid w:val="0077226B"/>
    <w:rsid w:val="00773DB6"/>
    <w:rsid w:val="0077514A"/>
    <w:rsid w:val="00781279"/>
    <w:rsid w:val="00783AFE"/>
    <w:rsid w:val="007904FF"/>
    <w:rsid w:val="007925EB"/>
    <w:rsid w:val="00796798"/>
    <w:rsid w:val="00797B28"/>
    <w:rsid w:val="007A038A"/>
    <w:rsid w:val="007A1E1B"/>
    <w:rsid w:val="007A23C5"/>
    <w:rsid w:val="007A3D48"/>
    <w:rsid w:val="007A5961"/>
    <w:rsid w:val="007A62AF"/>
    <w:rsid w:val="007A6303"/>
    <w:rsid w:val="007A73B9"/>
    <w:rsid w:val="007B0811"/>
    <w:rsid w:val="007B12CC"/>
    <w:rsid w:val="007B31EB"/>
    <w:rsid w:val="007B425E"/>
    <w:rsid w:val="007C1D53"/>
    <w:rsid w:val="007C22F2"/>
    <w:rsid w:val="007C3D31"/>
    <w:rsid w:val="007C4FA1"/>
    <w:rsid w:val="007D2F2B"/>
    <w:rsid w:val="007D48A4"/>
    <w:rsid w:val="007D719A"/>
    <w:rsid w:val="007E11AF"/>
    <w:rsid w:val="007E1A50"/>
    <w:rsid w:val="007E36AC"/>
    <w:rsid w:val="007E4B97"/>
    <w:rsid w:val="007E5353"/>
    <w:rsid w:val="007E55B7"/>
    <w:rsid w:val="007E6392"/>
    <w:rsid w:val="007F42D9"/>
    <w:rsid w:val="007F5799"/>
    <w:rsid w:val="007F5BF8"/>
    <w:rsid w:val="007F7B66"/>
    <w:rsid w:val="00801DE2"/>
    <w:rsid w:val="00802AAD"/>
    <w:rsid w:val="008038C9"/>
    <w:rsid w:val="0080646E"/>
    <w:rsid w:val="00806C2A"/>
    <w:rsid w:val="008077DA"/>
    <w:rsid w:val="008141B6"/>
    <w:rsid w:val="008153A1"/>
    <w:rsid w:val="00825BFE"/>
    <w:rsid w:val="00825C8F"/>
    <w:rsid w:val="00826B5E"/>
    <w:rsid w:val="00831380"/>
    <w:rsid w:val="00831843"/>
    <w:rsid w:val="00832D6F"/>
    <w:rsid w:val="008330BB"/>
    <w:rsid w:val="00833CAD"/>
    <w:rsid w:val="008406FC"/>
    <w:rsid w:val="00840AA3"/>
    <w:rsid w:val="008410E6"/>
    <w:rsid w:val="00841318"/>
    <w:rsid w:val="00841E77"/>
    <w:rsid w:val="008421E5"/>
    <w:rsid w:val="00845E45"/>
    <w:rsid w:val="008512E3"/>
    <w:rsid w:val="00851C1E"/>
    <w:rsid w:val="00853166"/>
    <w:rsid w:val="008545A3"/>
    <w:rsid w:val="00856CD9"/>
    <w:rsid w:val="00862F0E"/>
    <w:rsid w:val="00863E6B"/>
    <w:rsid w:val="008655F8"/>
    <w:rsid w:val="00867DAD"/>
    <w:rsid w:val="00867EAE"/>
    <w:rsid w:val="00870A99"/>
    <w:rsid w:val="00871458"/>
    <w:rsid w:val="00872CB6"/>
    <w:rsid w:val="00874F21"/>
    <w:rsid w:val="00882D02"/>
    <w:rsid w:val="00883213"/>
    <w:rsid w:val="0088340D"/>
    <w:rsid w:val="00884A1B"/>
    <w:rsid w:val="008923A4"/>
    <w:rsid w:val="008927E0"/>
    <w:rsid w:val="00893556"/>
    <w:rsid w:val="00893B88"/>
    <w:rsid w:val="008953C4"/>
    <w:rsid w:val="008A02F3"/>
    <w:rsid w:val="008A4193"/>
    <w:rsid w:val="008A4440"/>
    <w:rsid w:val="008A58B3"/>
    <w:rsid w:val="008B024E"/>
    <w:rsid w:val="008B14E4"/>
    <w:rsid w:val="008B2C45"/>
    <w:rsid w:val="008B4190"/>
    <w:rsid w:val="008C0361"/>
    <w:rsid w:val="008C2670"/>
    <w:rsid w:val="008C6831"/>
    <w:rsid w:val="008C736D"/>
    <w:rsid w:val="008D30DD"/>
    <w:rsid w:val="008D35B6"/>
    <w:rsid w:val="008D5D5A"/>
    <w:rsid w:val="008D63C9"/>
    <w:rsid w:val="008D77B0"/>
    <w:rsid w:val="008E06A1"/>
    <w:rsid w:val="008E1673"/>
    <w:rsid w:val="008E6D68"/>
    <w:rsid w:val="008F4555"/>
    <w:rsid w:val="00900431"/>
    <w:rsid w:val="00902193"/>
    <w:rsid w:val="0090328C"/>
    <w:rsid w:val="00910123"/>
    <w:rsid w:val="00912961"/>
    <w:rsid w:val="00913386"/>
    <w:rsid w:val="00913F71"/>
    <w:rsid w:val="00914563"/>
    <w:rsid w:val="00916D35"/>
    <w:rsid w:val="00921822"/>
    <w:rsid w:val="00921960"/>
    <w:rsid w:val="0092196F"/>
    <w:rsid w:val="00923F6C"/>
    <w:rsid w:val="00925D28"/>
    <w:rsid w:val="00927B48"/>
    <w:rsid w:val="00931166"/>
    <w:rsid w:val="0093340A"/>
    <w:rsid w:val="00933955"/>
    <w:rsid w:val="00935A11"/>
    <w:rsid w:val="00936518"/>
    <w:rsid w:val="00937032"/>
    <w:rsid w:val="00937C98"/>
    <w:rsid w:val="0094258F"/>
    <w:rsid w:val="0094661D"/>
    <w:rsid w:val="009469B5"/>
    <w:rsid w:val="0095122D"/>
    <w:rsid w:val="00952194"/>
    <w:rsid w:val="00955087"/>
    <w:rsid w:val="0095730F"/>
    <w:rsid w:val="0096060D"/>
    <w:rsid w:val="00961C95"/>
    <w:rsid w:val="00962A5F"/>
    <w:rsid w:val="00963B0B"/>
    <w:rsid w:val="0096467C"/>
    <w:rsid w:val="00965969"/>
    <w:rsid w:val="00965DB7"/>
    <w:rsid w:val="009667C2"/>
    <w:rsid w:val="00967F39"/>
    <w:rsid w:val="00970038"/>
    <w:rsid w:val="00971D84"/>
    <w:rsid w:val="0097237D"/>
    <w:rsid w:val="009740A2"/>
    <w:rsid w:val="00976F17"/>
    <w:rsid w:val="00981972"/>
    <w:rsid w:val="0098245F"/>
    <w:rsid w:val="009855CA"/>
    <w:rsid w:val="00990F07"/>
    <w:rsid w:val="009932D0"/>
    <w:rsid w:val="00996DA3"/>
    <w:rsid w:val="009A5F8F"/>
    <w:rsid w:val="009B0A61"/>
    <w:rsid w:val="009B109A"/>
    <w:rsid w:val="009B4531"/>
    <w:rsid w:val="009B5F75"/>
    <w:rsid w:val="009B6519"/>
    <w:rsid w:val="009B6C65"/>
    <w:rsid w:val="009B7836"/>
    <w:rsid w:val="009C164A"/>
    <w:rsid w:val="009D0A18"/>
    <w:rsid w:val="009D17E4"/>
    <w:rsid w:val="009D5A93"/>
    <w:rsid w:val="009D5BA5"/>
    <w:rsid w:val="009D64E2"/>
    <w:rsid w:val="009D6BF5"/>
    <w:rsid w:val="009E0276"/>
    <w:rsid w:val="009E25B6"/>
    <w:rsid w:val="009E2A29"/>
    <w:rsid w:val="009E5F33"/>
    <w:rsid w:val="009E6791"/>
    <w:rsid w:val="009E7510"/>
    <w:rsid w:val="009F02C1"/>
    <w:rsid w:val="009F0BD2"/>
    <w:rsid w:val="009F1452"/>
    <w:rsid w:val="009F1BF8"/>
    <w:rsid w:val="009F1C9C"/>
    <w:rsid w:val="009F250C"/>
    <w:rsid w:val="009F275E"/>
    <w:rsid w:val="009F434C"/>
    <w:rsid w:val="009F7D34"/>
    <w:rsid w:val="00A00E7B"/>
    <w:rsid w:val="00A02520"/>
    <w:rsid w:val="00A02BAA"/>
    <w:rsid w:val="00A107BD"/>
    <w:rsid w:val="00A10D56"/>
    <w:rsid w:val="00A1218E"/>
    <w:rsid w:val="00A12C39"/>
    <w:rsid w:val="00A13A13"/>
    <w:rsid w:val="00A15326"/>
    <w:rsid w:val="00A16CEC"/>
    <w:rsid w:val="00A26C91"/>
    <w:rsid w:val="00A26E9C"/>
    <w:rsid w:val="00A318E2"/>
    <w:rsid w:val="00A33F58"/>
    <w:rsid w:val="00A36055"/>
    <w:rsid w:val="00A40BC8"/>
    <w:rsid w:val="00A4369D"/>
    <w:rsid w:val="00A43B19"/>
    <w:rsid w:val="00A4472E"/>
    <w:rsid w:val="00A46D31"/>
    <w:rsid w:val="00A47EA4"/>
    <w:rsid w:val="00A5036F"/>
    <w:rsid w:val="00A503E5"/>
    <w:rsid w:val="00A509FD"/>
    <w:rsid w:val="00A53FF0"/>
    <w:rsid w:val="00A54456"/>
    <w:rsid w:val="00A5471E"/>
    <w:rsid w:val="00A551D7"/>
    <w:rsid w:val="00A55B27"/>
    <w:rsid w:val="00A55BDA"/>
    <w:rsid w:val="00A60C43"/>
    <w:rsid w:val="00A64596"/>
    <w:rsid w:val="00A67BE2"/>
    <w:rsid w:val="00A74820"/>
    <w:rsid w:val="00A76E41"/>
    <w:rsid w:val="00A776BC"/>
    <w:rsid w:val="00A8105F"/>
    <w:rsid w:val="00A81465"/>
    <w:rsid w:val="00A833A7"/>
    <w:rsid w:val="00A86AB0"/>
    <w:rsid w:val="00A87262"/>
    <w:rsid w:val="00A90F79"/>
    <w:rsid w:val="00A9323F"/>
    <w:rsid w:val="00A93929"/>
    <w:rsid w:val="00A9509B"/>
    <w:rsid w:val="00A963E4"/>
    <w:rsid w:val="00A97C90"/>
    <w:rsid w:val="00AA15A6"/>
    <w:rsid w:val="00AA182F"/>
    <w:rsid w:val="00AA3F58"/>
    <w:rsid w:val="00AA4870"/>
    <w:rsid w:val="00AA6B5D"/>
    <w:rsid w:val="00AB1D83"/>
    <w:rsid w:val="00AB5668"/>
    <w:rsid w:val="00AB587E"/>
    <w:rsid w:val="00AB6697"/>
    <w:rsid w:val="00AC0CA3"/>
    <w:rsid w:val="00AC24D8"/>
    <w:rsid w:val="00AC2F0E"/>
    <w:rsid w:val="00AC6329"/>
    <w:rsid w:val="00AC6B22"/>
    <w:rsid w:val="00AD13AD"/>
    <w:rsid w:val="00AE08D3"/>
    <w:rsid w:val="00AE225B"/>
    <w:rsid w:val="00AE46A4"/>
    <w:rsid w:val="00AE535D"/>
    <w:rsid w:val="00AE69CE"/>
    <w:rsid w:val="00AF08E9"/>
    <w:rsid w:val="00AF0B26"/>
    <w:rsid w:val="00AF0EBF"/>
    <w:rsid w:val="00AF2165"/>
    <w:rsid w:val="00AF6826"/>
    <w:rsid w:val="00B00877"/>
    <w:rsid w:val="00B02697"/>
    <w:rsid w:val="00B0719C"/>
    <w:rsid w:val="00B14CC8"/>
    <w:rsid w:val="00B17240"/>
    <w:rsid w:val="00B234C1"/>
    <w:rsid w:val="00B248CE"/>
    <w:rsid w:val="00B24E37"/>
    <w:rsid w:val="00B25020"/>
    <w:rsid w:val="00B256C8"/>
    <w:rsid w:val="00B256F6"/>
    <w:rsid w:val="00B272EE"/>
    <w:rsid w:val="00B302A1"/>
    <w:rsid w:val="00B31FCC"/>
    <w:rsid w:val="00B3557A"/>
    <w:rsid w:val="00B3740D"/>
    <w:rsid w:val="00B3776F"/>
    <w:rsid w:val="00B418AB"/>
    <w:rsid w:val="00B41ACE"/>
    <w:rsid w:val="00B4291F"/>
    <w:rsid w:val="00B42B7C"/>
    <w:rsid w:val="00B42F55"/>
    <w:rsid w:val="00B46CA3"/>
    <w:rsid w:val="00B5591E"/>
    <w:rsid w:val="00B565C7"/>
    <w:rsid w:val="00B56F47"/>
    <w:rsid w:val="00B608C5"/>
    <w:rsid w:val="00B61CEF"/>
    <w:rsid w:val="00B657D7"/>
    <w:rsid w:val="00B659E9"/>
    <w:rsid w:val="00B677D1"/>
    <w:rsid w:val="00B7130A"/>
    <w:rsid w:val="00B71CA8"/>
    <w:rsid w:val="00B753C1"/>
    <w:rsid w:val="00B82CCF"/>
    <w:rsid w:val="00B83052"/>
    <w:rsid w:val="00B8677C"/>
    <w:rsid w:val="00B90FC3"/>
    <w:rsid w:val="00B92387"/>
    <w:rsid w:val="00B9395A"/>
    <w:rsid w:val="00B93A38"/>
    <w:rsid w:val="00B95280"/>
    <w:rsid w:val="00B9638C"/>
    <w:rsid w:val="00BA5133"/>
    <w:rsid w:val="00BA5885"/>
    <w:rsid w:val="00BA59F6"/>
    <w:rsid w:val="00BA6774"/>
    <w:rsid w:val="00BB0763"/>
    <w:rsid w:val="00BB0E01"/>
    <w:rsid w:val="00BB1CB2"/>
    <w:rsid w:val="00BB21F1"/>
    <w:rsid w:val="00BB4264"/>
    <w:rsid w:val="00BB4B2D"/>
    <w:rsid w:val="00BB6099"/>
    <w:rsid w:val="00BB6BDE"/>
    <w:rsid w:val="00BB702A"/>
    <w:rsid w:val="00BC0FBE"/>
    <w:rsid w:val="00BC1D98"/>
    <w:rsid w:val="00BC3F50"/>
    <w:rsid w:val="00BD324F"/>
    <w:rsid w:val="00BD3603"/>
    <w:rsid w:val="00BD702A"/>
    <w:rsid w:val="00BE0161"/>
    <w:rsid w:val="00BE1766"/>
    <w:rsid w:val="00BE3275"/>
    <w:rsid w:val="00BE36C6"/>
    <w:rsid w:val="00BE5F84"/>
    <w:rsid w:val="00BF0DFB"/>
    <w:rsid w:val="00BF14CF"/>
    <w:rsid w:val="00BF48F2"/>
    <w:rsid w:val="00BF648F"/>
    <w:rsid w:val="00C00A12"/>
    <w:rsid w:val="00C01354"/>
    <w:rsid w:val="00C02E08"/>
    <w:rsid w:val="00C04FEC"/>
    <w:rsid w:val="00C05052"/>
    <w:rsid w:val="00C0544C"/>
    <w:rsid w:val="00C064AA"/>
    <w:rsid w:val="00C10643"/>
    <w:rsid w:val="00C15609"/>
    <w:rsid w:val="00C16EAB"/>
    <w:rsid w:val="00C23757"/>
    <w:rsid w:val="00C2432E"/>
    <w:rsid w:val="00C25332"/>
    <w:rsid w:val="00C25933"/>
    <w:rsid w:val="00C27C2B"/>
    <w:rsid w:val="00C3318C"/>
    <w:rsid w:val="00C34F6D"/>
    <w:rsid w:val="00C3720A"/>
    <w:rsid w:val="00C41DCA"/>
    <w:rsid w:val="00C45720"/>
    <w:rsid w:val="00C51934"/>
    <w:rsid w:val="00C549B2"/>
    <w:rsid w:val="00C55715"/>
    <w:rsid w:val="00C56FA8"/>
    <w:rsid w:val="00C61C00"/>
    <w:rsid w:val="00C62802"/>
    <w:rsid w:val="00C6346F"/>
    <w:rsid w:val="00C679E4"/>
    <w:rsid w:val="00C73DB2"/>
    <w:rsid w:val="00C75067"/>
    <w:rsid w:val="00C802CF"/>
    <w:rsid w:val="00C830BD"/>
    <w:rsid w:val="00C84E19"/>
    <w:rsid w:val="00C85194"/>
    <w:rsid w:val="00C95F53"/>
    <w:rsid w:val="00C97F3E"/>
    <w:rsid w:val="00CA00FB"/>
    <w:rsid w:val="00CA0715"/>
    <w:rsid w:val="00CA11BC"/>
    <w:rsid w:val="00CA1CD2"/>
    <w:rsid w:val="00CA39D0"/>
    <w:rsid w:val="00CA48E6"/>
    <w:rsid w:val="00CA4E7E"/>
    <w:rsid w:val="00CA67C6"/>
    <w:rsid w:val="00CB14B8"/>
    <w:rsid w:val="00CB262F"/>
    <w:rsid w:val="00CB39DC"/>
    <w:rsid w:val="00CB4939"/>
    <w:rsid w:val="00CB5977"/>
    <w:rsid w:val="00CB5E07"/>
    <w:rsid w:val="00CB5FDB"/>
    <w:rsid w:val="00CC36CA"/>
    <w:rsid w:val="00CC6EF3"/>
    <w:rsid w:val="00CC7A2E"/>
    <w:rsid w:val="00CC7AEB"/>
    <w:rsid w:val="00CD27CB"/>
    <w:rsid w:val="00CD478B"/>
    <w:rsid w:val="00CD6BE5"/>
    <w:rsid w:val="00CD77F5"/>
    <w:rsid w:val="00CD7CD7"/>
    <w:rsid w:val="00CD7DD7"/>
    <w:rsid w:val="00CE0245"/>
    <w:rsid w:val="00CE47BF"/>
    <w:rsid w:val="00CE76D0"/>
    <w:rsid w:val="00CF43D3"/>
    <w:rsid w:val="00CF4997"/>
    <w:rsid w:val="00CF7256"/>
    <w:rsid w:val="00CF75BB"/>
    <w:rsid w:val="00D03579"/>
    <w:rsid w:val="00D04FCE"/>
    <w:rsid w:val="00D11D9E"/>
    <w:rsid w:val="00D13247"/>
    <w:rsid w:val="00D1341B"/>
    <w:rsid w:val="00D13E31"/>
    <w:rsid w:val="00D16614"/>
    <w:rsid w:val="00D2127E"/>
    <w:rsid w:val="00D228D1"/>
    <w:rsid w:val="00D22DFA"/>
    <w:rsid w:val="00D24B8C"/>
    <w:rsid w:val="00D26AA8"/>
    <w:rsid w:val="00D27019"/>
    <w:rsid w:val="00D315DA"/>
    <w:rsid w:val="00D3317F"/>
    <w:rsid w:val="00D360BE"/>
    <w:rsid w:val="00D40BC5"/>
    <w:rsid w:val="00D40F06"/>
    <w:rsid w:val="00D44057"/>
    <w:rsid w:val="00D44B67"/>
    <w:rsid w:val="00D44E81"/>
    <w:rsid w:val="00D4599E"/>
    <w:rsid w:val="00D47576"/>
    <w:rsid w:val="00D479E8"/>
    <w:rsid w:val="00D542F2"/>
    <w:rsid w:val="00D5493C"/>
    <w:rsid w:val="00D56F9B"/>
    <w:rsid w:val="00D61162"/>
    <w:rsid w:val="00D61BD1"/>
    <w:rsid w:val="00D631BE"/>
    <w:rsid w:val="00D635C4"/>
    <w:rsid w:val="00D65D0C"/>
    <w:rsid w:val="00D66AE2"/>
    <w:rsid w:val="00D66B0F"/>
    <w:rsid w:val="00D671EA"/>
    <w:rsid w:val="00D72C3B"/>
    <w:rsid w:val="00D74180"/>
    <w:rsid w:val="00D744B4"/>
    <w:rsid w:val="00D7549F"/>
    <w:rsid w:val="00D77416"/>
    <w:rsid w:val="00D774D4"/>
    <w:rsid w:val="00D7757D"/>
    <w:rsid w:val="00D8023F"/>
    <w:rsid w:val="00D80950"/>
    <w:rsid w:val="00D8348B"/>
    <w:rsid w:val="00D868F2"/>
    <w:rsid w:val="00D86FDE"/>
    <w:rsid w:val="00D8757C"/>
    <w:rsid w:val="00D908D3"/>
    <w:rsid w:val="00D90C19"/>
    <w:rsid w:val="00D91C36"/>
    <w:rsid w:val="00D94AE6"/>
    <w:rsid w:val="00D94BB9"/>
    <w:rsid w:val="00D95048"/>
    <w:rsid w:val="00DA1AE4"/>
    <w:rsid w:val="00DA283C"/>
    <w:rsid w:val="00DA437B"/>
    <w:rsid w:val="00DA78D7"/>
    <w:rsid w:val="00DB0831"/>
    <w:rsid w:val="00DB1859"/>
    <w:rsid w:val="00DB1D37"/>
    <w:rsid w:val="00DB3A56"/>
    <w:rsid w:val="00DB6FE7"/>
    <w:rsid w:val="00DC1D00"/>
    <w:rsid w:val="00DC2A9F"/>
    <w:rsid w:val="00DC552D"/>
    <w:rsid w:val="00DC7B47"/>
    <w:rsid w:val="00DD1A5C"/>
    <w:rsid w:val="00DD1F41"/>
    <w:rsid w:val="00DD34E5"/>
    <w:rsid w:val="00DD3639"/>
    <w:rsid w:val="00DD4360"/>
    <w:rsid w:val="00DD6DD7"/>
    <w:rsid w:val="00DD6FD2"/>
    <w:rsid w:val="00DE1373"/>
    <w:rsid w:val="00DE21B5"/>
    <w:rsid w:val="00DE2EF0"/>
    <w:rsid w:val="00DE5A74"/>
    <w:rsid w:val="00DF0EBB"/>
    <w:rsid w:val="00DF22C3"/>
    <w:rsid w:val="00DF298C"/>
    <w:rsid w:val="00DF40A0"/>
    <w:rsid w:val="00DF4135"/>
    <w:rsid w:val="00DF5A45"/>
    <w:rsid w:val="00DF6369"/>
    <w:rsid w:val="00DF693A"/>
    <w:rsid w:val="00E0259E"/>
    <w:rsid w:val="00E0287C"/>
    <w:rsid w:val="00E0318A"/>
    <w:rsid w:val="00E04CC3"/>
    <w:rsid w:val="00E1000C"/>
    <w:rsid w:val="00E10BFF"/>
    <w:rsid w:val="00E1186D"/>
    <w:rsid w:val="00E1484A"/>
    <w:rsid w:val="00E152C9"/>
    <w:rsid w:val="00E2020D"/>
    <w:rsid w:val="00E21A06"/>
    <w:rsid w:val="00E2576F"/>
    <w:rsid w:val="00E30197"/>
    <w:rsid w:val="00E30704"/>
    <w:rsid w:val="00E30B21"/>
    <w:rsid w:val="00E344E1"/>
    <w:rsid w:val="00E34784"/>
    <w:rsid w:val="00E42B97"/>
    <w:rsid w:val="00E46AF8"/>
    <w:rsid w:val="00E47761"/>
    <w:rsid w:val="00E5409A"/>
    <w:rsid w:val="00E5458F"/>
    <w:rsid w:val="00E61333"/>
    <w:rsid w:val="00E6159D"/>
    <w:rsid w:val="00E62805"/>
    <w:rsid w:val="00E67AB7"/>
    <w:rsid w:val="00E743FC"/>
    <w:rsid w:val="00E760DC"/>
    <w:rsid w:val="00E772BA"/>
    <w:rsid w:val="00E80BCE"/>
    <w:rsid w:val="00E80EFF"/>
    <w:rsid w:val="00E81CF1"/>
    <w:rsid w:val="00E82532"/>
    <w:rsid w:val="00E855FA"/>
    <w:rsid w:val="00E85BD7"/>
    <w:rsid w:val="00E85F4F"/>
    <w:rsid w:val="00E87612"/>
    <w:rsid w:val="00E905AE"/>
    <w:rsid w:val="00E92ACD"/>
    <w:rsid w:val="00E974A2"/>
    <w:rsid w:val="00EA0415"/>
    <w:rsid w:val="00EA5AB5"/>
    <w:rsid w:val="00EA5D6A"/>
    <w:rsid w:val="00EA6950"/>
    <w:rsid w:val="00EB57E9"/>
    <w:rsid w:val="00EC05E9"/>
    <w:rsid w:val="00EC2A61"/>
    <w:rsid w:val="00EC2D7F"/>
    <w:rsid w:val="00EC614F"/>
    <w:rsid w:val="00EC6556"/>
    <w:rsid w:val="00ED1FD7"/>
    <w:rsid w:val="00ED3275"/>
    <w:rsid w:val="00ED3A25"/>
    <w:rsid w:val="00ED5234"/>
    <w:rsid w:val="00ED5C41"/>
    <w:rsid w:val="00EE1152"/>
    <w:rsid w:val="00EE2474"/>
    <w:rsid w:val="00EF28C5"/>
    <w:rsid w:val="00EF324E"/>
    <w:rsid w:val="00EF349C"/>
    <w:rsid w:val="00EF39B2"/>
    <w:rsid w:val="00EF39ED"/>
    <w:rsid w:val="00EF7E81"/>
    <w:rsid w:val="00F021CF"/>
    <w:rsid w:val="00F05B0F"/>
    <w:rsid w:val="00F1047D"/>
    <w:rsid w:val="00F12BB0"/>
    <w:rsid w:val="00F13DE3"/>
    <w:rsid w:val="00F13E79"/>
    <w:rsid w:val="00F16AF2"/>
    <w:rsid w:val="00F17BAE"/>
    <w:rsid w:val="00F2001D"/>
    <w:rsid w:val="00F20029"/>
    <w:rsid w:val="00F2201F"/>
    <w:rsid w:val="00F23852"/>
    <w:rsid w:val="00F24D86"/>
    <w:rsid w:val="00F318B8"/>
    <w:rsid w:val="00F323B7"/>
    <w:rsid w:val="00F33B15"/>
    <w:rsid w:val="00F341B8"/>
    <w:rsid w:val="00F417A3"/>
    <w:rsid w:val="00F42B7E"/>
    <w:rsid w:val="00F42EDB"/>
    <w:rsid w:val="00F44275"/>
    <w:rsid w:val="00F46C0C"/>
    <w:rsid w:val="00F5064E"/>
    <w:rsid w:val="00F55B72"/>
    <w:rsid w:val="00F6056C"/>
    <w:rsid w:val="00F60CB5"/>
    <w:rsid w:val="00F61581"/>
    <w:rsid w:val="00F62E7F"/>
    <w:rsid w:val="00F63BB9"/>
    <w:rsid w:val="00F658B9"/>
    <w:rsid w:val="00F67DBB"/>
    <w:rsid w:val="00F700AA"/>
    <w:rsid w:val="00F718B0"/>
    <w:rsid w:val="00F73A71"/>
    <w:rsid w:val="00F77D48"/>
    <w:rsid w:val="00F8293E"/>
    <w:rsid w:val="00F82BD4"/>
    <w:rsid w:val="00F84C94"/>
    <w:rsid w:val="00F90BB6"/>
    <w:rsid w:val="00F915D1"/>
    <w:rsid w:val="00F91939"/>
    <w:rsid w:val="00F93E86"/>
    <w:rsid w:val="00F9576D"/>
    <w:rsid w:val="00F95F0C"/>
    <w:rsid w:val="00F9732F"/>
    <w:rsid w:val="00FA0E7F"/>
    <w:rsid w:val="00FA3548"/>
    <w:rsid w:val="00FA4B38"/>
    <w:rsid w:val="00FA50EB"/>
    <w:rsid w:val="00FA6DC0"/>
    <w:rsid w:val="00FA7EB1"/>
    <w:rsid w:val="00FB1CEC"/>
    <w:rsid w:val="00FB419B"/>
    <w:rsid w:val="00FB46DC"/>
    <w:rsid w:val="00FB6F9F"/>
    <w:rsid w:val="00FB7A48"/>
    <w:rsid w:val="00FC12FE"/>
    <w:rsid w:val="00FC1489"/>
    <w:rsid w:val="00FC3441"/>
    <w:rsid w:val="00FD1ED3"/>
    <w:rsid w:val="00FD6C28"/>
    <w:rsid w:val="00FE1287"/>
    <w:rsid w:val="00FE310B"/>
    <w:rsid w:val="00FE39B9"/>
    <w:rsid w:val="00FE6AD7"/>
    <w:rsid w:val="00FF1BA9"/>
    <w:rsid w:val="00FF5290"/>
    <w:rsid w:val="00FF60DC"/>
    <w:rsid w:val="02E16B08"/>
    <w:rsid w:val="03C84930"/>
    <w:rsid w:val="03DF7E09"/>
    <w:rsid w:val="0426416E"/>
    <w:rsid w:val="048320BB"/>
    <w:rsid w:val="04B563C2"/>
    <w:rsid w:val="05531A54"/>
    <w:rsid w:val="05F92C68"/>
    <w:rsid w:val="06571B7A"/>
    <w:rsid w:val="077111CE"/>
    <w:rsid w:val="0772575A"/>
    <w:rsid w:val="07DA3A8F"/>
    <w:rsid w:val="089D7C92"/>
    <w:rsid w:val="08F234E3"/>
    <w:rsid w:val="09AB3FF1"/>
    <w:rsid w:val="09C92DD3"/>
    <w:rsid w:val="09CF6E4B"/>
    <w:rsid w:val="0AD5056D"/>
    <w:rsid w:val="0B6B045B"/>
    <w:rsid w:val="0BD554C2"/>
    <w:rsid w:val="0C803633"/>
    <w:rsid w:val="0E7B4525"/>
    <w:rsid w:val="0F67623B"/>
    <w:rsid w:val="0FA902F5"/>
    <w:rsid w:val="10767327"/>
    <w:rsid w:val="11304CEB"/>
    <w:rsid w:val="11AF4DCB"/>
    <w:rsid w:val="12955111"/>
    <w:rsid w:val="12CC6E6D"/>
    <w:rsid w:val="13806E42"/>
    <w:rsid w:val="13A607E7"/>
    <w:rsid w:val="140E7482"/>
    <w:rsid w:val="14253B8C"/>
    <w:rsid w:val="1440520B"/>
    <w:rsid w:val="14737EE6"/>
    <w:rsid w:val="160242E9"/>
    <w:rsid w:val="16510C2B"/>
    <w:rsid w:val="179C7058"/>
    <w:rsid w:val="17BC5001"/>
    <w:rsid w:val="181B22BC"/>
    <w:rsid w:val="183A0A1F"/>
    <w:rsid w:val="198C1D89"/>
    <w:rsid w:val="1B74013C"/>
    <w:rsid w:val="1C8D02CD"/>
    <w:rsid w:val="1CFA34AD"/>
    <w:rsid w:val="1E0D2BED"/>
    <w:rsid w:val="1E591AD6"/>
    <w:rsid w:val="1F14499E"/>
    <w:rsid w:val="1F5B26C7"/>
    <w:rsid w:val="203A4DF7"/>
    <w:rsid w:val="224109E7"/>
    <w:rsid w:val="22A144DF"/>
    <w:rsid w:val="22EB689E"/>
    <w:rsid w:val="235104F2"/>
    <w:rsid w:val="2472310C"/>
    <w:rsid w:val="249C2E00"/>
    <w:rsid w:val="24C528E8"/>
    <w:rsid w:val="255614AE"/>
    <w:rsid w:val="26413EBD"/>
    <w:rsid w:val="26B56852"/>
    <w:rsid w:val="26CE5027"/>
    <w:rsid w:val="27F62AEE"/>
    <w:rsid w:val="2866365B"/>
    <w:rsid w:val="2B624D8B"/>
    <w:rsid w:val="2B9D683D"/>
    <w:rsid w:val="2BB65035"/>
    <w:rsid w:val="2BBA707D"/>
    <w:rsid w:val="2BDD6474"/>
    <w:rsid w:val="2CCA1365"/>
    <w:rsid w:val="2CF23FA9"/>
    <w:rsid w:val="2DDE2C59"/>
    <w:rsid w:val="2E50057C"/>
    <w:rsid w:val="2F204A26"/>
    <w:rsid w:val="2F3045A4"/>
    <w:rsid w:val="2F567AA0"/>
    <w:rsid w:val="2F627DD6"/>
    <w:rsid w:val="2FF3270A"/>
    <w:rsid w:val="30043F67"/>
    <w:rsid w:val="309F5392"/>
    <w:rsid w:val="310B6BF3"/>
    <w:rsid w:val="3161171F"/>
    <w:rsid w:val="319A28B2"/>
    <w:rsid w:val="3276083D"/>
    <w:rsid w:val="32C579D9"/>
    <w:rsid w:val="33905BDA"/>
    <w:rsid w:val="339B19D0"/>
    <w:rsid w:val="33BC6AA3"/>
    <w:rsid w:val="35084D7C"/>
    <w:rsid w:val="3508551A"/>
    <w:rsid w:val="359C0F7A"/>
    <w:rsid w:val="37776170"/>
    <w:rsid w:val="378B37C3"/>
    <w:rsid w:val="37BE57F0"/>
    <w:rsid w:val="383B0BDA"/>
    <w:rsid w:val="38F2725A"/>
    <w:rsid w:val="3941563D"/>
    <w:rsid w:val="39C037CE"/>
    <w:rsid w:val="3A86167D"/>
    <w:rsid w:val="3AE332B3"/>
    <w:rsid w:val="3C072BC0"/>
    <w:rsid w:val="3C8C247C"/>
    <w:rsid w:val="3D4922BE"/>
    <w:rsid w:val="3D65545B"/>
    <w:rsid w:val="3E7210B7"/>
    <w:rsid w:val="3E7C6D69"/>
    <w:rsid w:val="3FA119B7"/>
    <w:rsid w:val="40177DE3"/>
    <w:rsid w:val="40675092"/>
    <w:rsid w:val="40976810"/>
    <w:rsid w:val="41152B01"/>
    <w:rsid w:val="417A1877"/>
    <w:rsid w:val="421C2E82"/>
    <w:rsid w:val="422711D3"/>
    <w:rsid w:val="432253DD"/>
    <w:rsid w:val="43501007"/>
    <w:rsid w:val="43863DDA"/>
    <w:rsid w:val="444939F2"/>
    <w:rsid w:val="45551365"/>
    <w:rsid w:val="467938A1"/>
    <w:rsid w:val="476F66C2"/>
    <w:rsid w:val="482809DA"/>
    <w:rsid w:val="4A0B7731"/>
    <w:rsid w:val="4A3A7537"/>
    <w:rsid w:val="4A9A751F"/>
    <w:rsid w:val="4AB8212E"/>
    <w:rsid w:val="4AE10089"/>
    <w:rsid w:val="4B177614"/>
    <w:rsid w:val="4B3A3DE4"/>
    <w:rsid w:val="4B77032C"/>
    <w:rsid w:val="4B852596"/>
    <w:rsid w:val="4BCA4DC2"/>
    <w:rsid w:val="4CC43F74"/>
    <w:rsid w:val="4D3806BD"/>
    <w:rsid w:val="4F10078B"/>
    <w:rsid w:val="4F442CA7"/>
    <w:rsid w:val="4FA56487"/>
    <w:rsid w:val="4FC44EDC"/>
    <w:rsid w:val="4FDF015D"/>
    <w:rsid w:val="50997532"/>
    <w:rsid w:val="512307C4"/>
    <w:rsid w:val="52883906"/>
    <w:rsid w:val="52C12FB4"/>
    <w:rsid w:val="53097B05"/>
    <w:rsid w:val="535B5D4C"/>
    <w:rsid w:val="53630BD8"/>
    <w:rsid w:val="53866EE0"/>
    <w:rsid w:val="538F587F"/>
    <w:rsid w:val="544E2FF3"/>
    <w:rsid w:val="551E7F0E"/>
    <w:rsid w:val="55B95F2B"/>
    <w:rsid w:val="55D63612"/>
    <w:rsid w:val="55D9538F"/>
    <w:rsid w:val="56B137E7"/>
    <w:rsid w:val="58DC7E0B"/>
    <w:rsid w:val="591E3AA4"/>
    <w:rsid w:val="59654F1B"/>
    <w:rsid w:val="5A650D5A"/>
    <w:rsid w:val="5A8E6B50"/>
    <w:rsid w:val="5AED0A1B"/>
    <w:rsid w:val="5B526E3B"/>
    <w:rsid w:val="5CD163D5"/>
    <w:rsid w:val="5D176670"/>
    <w:rsid w:val="5EFB5FCF"/>
    <w:rsid w:val="5FE9557C"/>
    <w:rsid w:val="6075770C"/>
    <w:rsid w:val="60976762"/>
    <w:rsid w:val="615674ED"/>
    <w:rsid w:val="61744EA1"/>
    <w:rsid w:val="637048DB"/>
    <w:rsid w:val="64AA146F"/>
    <w:rsid w:val="65335497"/>
    <w:rsid w:val="658069E4"/>
    <w:rsid w:val="65D76172"/>
    <w:rsid w:val="66280534"/>
    <w:rsid w:val="66C77325"/>
    <w:rsid w:val="68931D4F"/>
    <w:rsid w:val="68970463"/>
    <w:rsid w:val="68C6406F"/>
    <w:rsid w:val="6A1638AD"/>
    <w:rsid w:val="6A1E6102"/>
    <w:rsid w:val="6B4551DF"/>
    <w:rsid w:val="6B9E2823"/>
    <w:rsid w:val="6C7B77BD"/>
    <w:rsid w:val="6C992C34"/>
    <w:rsid w:val="6CA95923"/>
    <w:rsid w:val="6D756958"/>
    <w:rsid w:val="6E4975B7"/>
    <w:rsid w:val="6E79470B"/>
    <w:rsid w:val="718B3849"/>
    <w:rsid w:val="72C3614D"/>
    <w:rsid w:val="73656E86"/>
    <w:rsid w:val="7377015A"/>
    <w:rsid w:val="739D2BFF"/>
    <w:rsid w:val="75A01A91"/>
    <w:rsid w:val="75A62E64"/>
    <w:rsid w:val="75BB53FD"/>
    <w:rsid w:val="75E96582"/>
    <w:rsid w:val="761146D7"/>
    <w:rsid w:val="76470CAA"/>
    <w:rsid w:val="764D1082"/>
    <w:rsid w:val="766F2799"/>
    <w:rsid w:val="773B6256"/>
    <w:rsid w:val="78122D8D"/>
    <w:rsid w:val="7BE54F72"/>
    <w:rsid w:val="7BF3685D"/>
    <w:rsid w:val="7D07233B"/>
    <w:rsid w:val="7D40391F"/>
    <w:rsid w:val="7DAB7441"/>
    <w:rsid w:val="7DF96BCA"/>
    <w:rsid w:val="7E1251F4"/>
    <w:rsid w:val="7E6416AA"/>
    <w:rsid w:val="7EA01A8C"/>
    <w:rsid w:val="7EE3117B"/>
    <w:rsid w:val="7EE66F59"/>
    <w:rsid w:val="7F1A6E76"/>
    <w:rsid w:val="7F1F783D"/>
    <w:rsid w:val="7FAF396D"/>
    <w:rsid w:val="E46DF715"/>
    <w:rsid w:val="EBBBE663"/>
    <w:rsid w:val="F5D5012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1" w:semiHidden="0" w:name="heading 3"/>
    <w:lsdException w:qFormat="1" w:uiPriority="1" w:semiHidden="0" w:name="heading 4"/>
    <w:lsdException w:qFormat="1" w:uiPriority="1"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3">
    <w:name w:val="heading 1"/>
    <w:basedOn w:val="1"/>
    <w:next w:val="1"/>
    <w:autoRedefine/>
    <w:qFormat/>
    <w:uiPriority w:val="1"/>
    <w:pPr>
      <w:keepNext/>
      <w:keepLines/>
      <w:spacing w:before="340" w:after="330" w:line="576" w:lineRule="auto"/>
      <w:outlineLvl w:val="0"/>
    </w:pPr>
    <w:rPr>
      <w:b/>
      <w:kern w:val="44"/>
      <w:sz w:val="44"/>
    </w:rPr>
  </w:style>
  <w:style w:type="paragraph" w:styleId="4">
    <w:name w:val="heading 2"/>
    <w:basedOn w:val="1"/>
    <w:next w:val="1"/>
    <w:link w:val="31"/>
    <w:autoRedefine/>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paragraph" w:styleId="5">
    <w:name w:val="heading 3"/>
    <w:basedOn w:val="1"/>
    <w:next w:val="1"/>
    <w:autoRedefine/>
    <w:unhideWhenUsed/>
    <w:qFormat/>
    <w:uiPriority w:val="1"/>
    <w:pPr>
      <w:keepNext/>
      <w:keepLines/>
      <w:spacing w:before="260" w:after="260" w:line="413" w:lineRule="auto"/>
      <w:outlineLvl w:val="2"/>
    </w:pPr>
    <w:rPr>
      <w:b/>
      <w:sz w:val="32"/>
    </w:rPr>
  </w:style>
  <w:style w:type="paragraph" w:styleId="6">
    <w:name w:val="heading 4"/>
    <w:basedOn w:val="1"/>
    <w:next w:val="1"/>
    <w:link w:val="36"/>
    <w:autoRedefine/>
    <w:unhideWhenUsed/>
    <w:qFormat/>
    <w:uiPriority w:val="1"/>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link w:val="34"/>
    <w:autoRedefine/>
    <w:unhideWhenUsed/>
    <w:qFormat/>
    <w:uiPriority w:val="1"/>
    <w:pPr>
      <w:keepNext/>
      <w:keepLines/>
      <w:spacing w:before="280" w:after="290" w:line="376" w:lineRule="auto"/>
      <w:outlineLvl w:val="4"/>
    </w:pPr>
    <w:rPr>
      <w:b/>
      <w:bCs/>
      <w:sz w:val="28"/>
      <w:szCs w:val="28"/>
    </w:rPr>
  </w:style>
  <w:style w:type="character" w:default="1" w:styleId="22">
    <w:name w:val="Default Paragraph Font"/>
    <w:autoRedefine/>
    <w:unhideWhenUsed/>
    <w:qFormat/>
    <w:uiPriority w:val="1"/>
  </w:style>
  <w:style w:type="table" w:default="1" w:styleId="20">
    <w:name w:val="Normal Table"/>
    <w:autoRedefine/>
    <w:unhideWhenUsed/>
    <w:qFormat/>
    <w:uiPriority w:val="99"/>
    <w:tblPr>
      <w:tblCellMar>
        <w:top w:w="0" w:type="dxa"/>
        <w:left w:w="108" w:type="dxa"/>
        <w:bottom w:w="0" w:type="dxa"/>
        <w:right w:w="108" w:type="dxa"/>
      </w:tblCellMar>
    </w:tblPr>
  </w:style>
  <w:style w:type="paragraph" w:styleId="2">
    <w:name w:val="Body Text"/>
    <w:basedOn w:val="1"/>
    <w:next w:val="1"/>
    <w:link w:val="35"/>
    <w:autoRedefine/>
    <w:unhideWhenUsed/>
    <w:qFormat/>
    <w:uiPriority w:val="1"/>
    <w:pPr>
      <w:spacing w:after="120"/>
    </w:pPr>
  </w:style>
  <w:style w:type="paragraph" w:styleId="8">
    <w:name w:val="Normal Indent"/>
    <w:basedOn w:val="1"/>
    <w:next w:val="2"/>
    <w:autoRedefine/>
    <w:qFormat/>
    <w:uiPriority w:val="0"/>
    <w:pPr>
      <w:spacing w:line="360" w:lineRule="auto"/>
      <w:ind w:firstLine="420" w:firstLineChars="200"/>
      <w:jc w:val="left"/>
    </w:pPr>
    <w:rPr>
      <w:rFonts w:ascii="仿宋_GB2312" w:hAnsi="Arial" w:eastAsia="仿宋_GB2312"/>
      <w:kern w:val="0"/>
      <w:sz w:val="30"/>
      <w:szCs w:val="30"/>
    </w:rPr>
  </w:style>
  <w:style w:type="paragraph" w:styleId="9">
    <w:name w:val="annotation text"/>
    <w:basedOn w:val="1"/>
    <w:link w:val="27"/>
    <w:autoRedefine/>
    <w:unhideWhenUsed/>
    <w:qFormat/>
    <w:uiPriority w:val="99"/>
    <w:pPr>
      <w:jc w:val="left"/>
    </w:pPr>
  </w:style>
  <w:style w:type="paragraph" w:styleId="10">
    <w:name w:val="Body Text Indent"/>
    <w:basedOn w:val="1"/>
    <w:autoRedefine/>
    <w:qFormat/>
    <w:uiPriority w:val="0"/>
    <w:pPr>
      <w:spacing w:after="120"/>
      <w:ind w:left="420" w:leftChars="200"/>
      <w:jc w:val="left"/>
    </w:pPr>
    <w:rPr>
      <w:rFonts w:hint="eastAsia" w:ascii="宋体" w:hAnsi="宋体" w:eastAsia="宋体"/>
      <w:kern w:val="0"/>
      <w:sz w:val="24"/>
      <w:szCs w:val="24"/>
    </w:rPr>
  </w:style>
  <w:style w:type="paragraph" w:styleId="11">
    <w:name w:val="Balloon Text"/>
    <w:basedOn w:val="1"/>
    <w:link w:val="37"/>
    <w:autoRedefine/>
    <w:unhideWhenUsed/>
    <w:qFormat/>
    <w:uiPriority w:val="99"/>
    <w:rPr>
      <w:sz w:val="18"/>
      <w:szCs w:val="18"/>
    </w:rPr>
  </w:style>
  <w:style w:type="paragraph" w:styleId="12">
    <w:name w:val="footer"/>
    <w:basedOn w:val="1"/>
    <w:next w:val="13"/>
    <w:link w:val="26"/>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Normal (Web)"/>
    <w:basedOn w:val="1"/>
    <w:next w:val="1"/>
    <w:autoRedefine/>
    <w:qFormat/>
    <w:uiPriority w:val="0"/>
    <w:pPr>
      <w:spacing w:before="100" w:beforeAutospacing="1" w:after="100" w:afterAutospacing="1"/>
      <w:ind w:left="0" w:right="0"/>
      <w:jc w:val="left"/>
    </w:pPr>
    <w:rPr>
      <w:rFonts w:ascii="Calibri" w:hAnsi="Calibri" w:eastAsia="宋体" w:cs="Times New Roman"/>
      <w:kern w:val="0"/>
      <w:sz w:val="24"/>
      <w:lang w:val="en-US" w:eastAsia="zh-CN" w:bidi="ar"/>
    </w:rPr>
  </w:style>
  <w:style w:type="paragraph" w:styleId="14">
    <w:name w:val="header"/>
    <w:basedOn w:val="1"/>
    <w:link w:val="25"/>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5">
    <w:name w:val="toc 1"/>
    <w:basedOn w:val="1"/>
    <w:next w:val="1"/>
    <w:autoRedefine/>
    <w:unhideWhenUsed/>
    <w:qFormat/>
    <w:uiPriority w:val="39"/>
    <w:pPr>
      <w:tabs>
        <w:tab w:val="right" w:leader="dot" w:pos="8714"/>
      </w:tabs>
      <w:spacing w:before="60" w:line="360" w:lineRule="auto"/>
      <w:ind w:left="200" w:leftChars="200"/>
      <w:jc w:val="left"/>
    </w:pPr>
    <w:rPr>
      <w:rFonts w:eastAsia="Helvetica" w:cs="Courier"/>
      <w:bCs/>
      <w:caps/>
      <w:sz w:val="30"/>
      <w:szCs w:val="20"/>
    </w:rPr>
  </w:style>
  <w:style w:type="paragraph" w:styleId="16">
    <w:name w:val="Subtitle"/>
    <w:basedOn w:val="1"/>
    <w:next w:val="1"/>
    <w:link w:val="30"/>
    <w:autoRedefine/>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7">
    <w:name w:val="toc 2"/>
    <w:basedOn w:val="1"/>
    <w:next w:val="1"/>
    <w:autoRedefine/>
    <w:unhideWhenUsed/>
    <w:qFormat/>
    <w:uiPriority w:val="39"/>
    <w:pPr>
      <w:tabs>
        <w:tab w:val="right" w:leader="dot" w:pos="8714"/>
      </w:tabs>
      <w:spacing w:line="360" w:lineRule="auto"/>
      <w:ind w:left="350" w:leftChars="350"/>
      <w:jc w:val="left"/>
    </w:pPr>
    <w:rPr>
      <w:rFonts w:eastAsia="Tms Rmn" w:cs="Courier"/>
      <w:smallCaps/>
      <w:sz w:val="30"/>
      <w:szCs w:val="20"/>
    </w:rPr>
  </w:style>
  <w:style w:type="paragraph" w:styleId="18">
    <w:name w:val="annotation subject"/>
    <w:basedOn w:val="9"/>
    <w:next w:val="9"/>
    <w:link w:val="28"/>
    <w:autoRedefine/>
    <w:unhideWhenUsed/>
    <w:qFormat/>
    <w:uiPriority w:val="99"/>
    <w:rPr>
      <w:b/>
      <w:bCs/>
    </w:rPr>
  </w:style>
  <w:style w:type="paragraph" w:styleId="19">
    <w:name w:val="Body Text First Indent 2"/>
    <w:basedOn w:val="10"/>
    <w:autoRedefine/>
    <w:qFormat/>
    <w:uiPriority w:val="0"/>
    <w:pPr>
      <w:ind w:firstLine="420"/>
    </w:p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autoRedefine/>
    <w:unhideWhenUsed/>
    <w:qFormat/>
    <w:uiPriority w:val="99"/>
    <w:rPr>
      <w:color w:val="0563C1" w:themeColor="hyperlink"/>
      <w:u w:val="single"/>
      <w14:textFill>
        <w14:solidFill>
          <w14:schemeClr w14:val="hlink"/>
        </w14:solidFill>
      </w14:textFill>
    </w:rPr>
  </w:style>
  <w:style w:type="character" w:styleId="24">
    <w:name w:val="annotation reference"/>
    <w:basedOn w:val="22"/>
    <w:autoRedefine/>
    <w:unhideWhenUsed/>
    <w:qFormat/>
    <w:uiPriority w:val="99"/>
    <w:rPr>
      <w:sz w:val="21"/>
      <w:szCs w:val="21"/>
    </w:rPr>
  </w:style>
  <w:style w:type="character" w:customStyle="1" w:styleId="25">
    <w:name w:val="页眉 Char"/>
    <w:basedOn w:val="22"/>
    <w:link w:val="14"/>
    <w:autoRedefine/>
    <w:qFormat/>
    <w:uiPriority w:val="99"/>
    <w:rPr>
      <w:sz w:val="18"/>
      <w:szCs w:val="18"/>
    </w:rPr>
  </w:style>
  <w:style w:type="character" w:customStyle="1" w:styleId="26">
    <w:name w:val="页脚 Char"/>
    <w:basedOn w:val="22"/>
    <w:link w:val="12"/>
    <w:autoRedefine/>
    <w:qFormat/>
    <w:uiPriority w:val="99"/>
    <w:rPr>
      <w:sz w:val="18"/>
      <w:szCs w:val="18"/>
    </w:rPr>
  </w:style>
  <w:style w:type="character" w:customStyle="1" w:styleId="27">
    <w:name w:val="批注文字 Char"/>
    <w:basedOn w:val="22"/>
    <w:link w:val="9"/>
    <w:autoRedefine/>
    <w:qFormat/>
    <w:uiPriority w:val="99"/>
    <w:rPr>
      <w:rFonts w:ascii="Times New Roman" w:hAnsi="Times New Roman" w:eastAsia="Courier New" w:cs="Times New Roman"/>
      <w:szCs w:val="21"/>
    </w:rPr>
  </w:style>
  <w:style w:type="character" w:customStyle="1" w:styleId="28">
    <w:name w:val="批注主题 Char"/>
    <w:basedOn w:val="27"/>
    <w:link w:val="18"/>
    <w:autoRedefine/>
    <w:semiHidden/>
    <w:qFormat/>
    <w:uiPriority w:val="99"/>
    <w:rPr>
      <w:rFonts w:ascii="Times New Roman" w:hAnsi="Times New Roman" w:eastAsia="Courier New" w:cs="Times New Roman"/>
      <w:b/>
      <w:bCs/>
      <w:szCs w:val="21"/>
    </w:rPr>
  </w:style>
  <w:style w:type="paragraph" w:customStyle="1" w:styleId="29">
    <w:name w:val="独立格式"/>
    <w:basedOn w:val="16"/>
    <w:autoRedefine/>
    <w:qFormat/>
    <w:uiPriority w:val="1"/>
    <w:pPr>
      <w:spacing w:before="0" w:after="0" w:line="360" w:lineRule="auto"/>
      <w:outlineLvl w:val="9"/>
    </w:pPr>
    <w:rPr>
      <w:rFonts w:ascii="Times New Roman" w:hAnsi="Times New Roman" w:eastAsia="Tms Rmn" w:cs="Times New Roman"/>
      <w:b w:val="0"/>
      <w:bCs w:val="0"/>
      <w:kern w:val="2"/>
      <w:szCs w:val="52"/>
    </w:rPr>
  </w:style>
  <w:style w:type="character" w:customStyle="1" w:styleId="30">
    <w:name w:val="副标题 Char"/>
    <w:basedOn w:val="22"/>
    <w:link w:val="16"/>
    <w:autoRedefine/>
    <w:qFormat/>
    <w:uiPriority w:val="11"/>
    <w:rPr>
      <w:b/>
      <w:bCs/>
      <w:kern w:val="28"/>
      <w:sz w:val="32"/>
      <w:szCs w:val="32"/>
    </w:rPr>
  </w:style>
  <w:style w:type="character" w:customStyle="1" w:styleId="31">
    <w:name w:val="标题 2 Char"/>
    <w:basedOn w:val="22"/>
    <w:link w:val="4"/>
    <w:autoRedefine/>
    <w:qFormat/>
    <w:uiPriority w:val="9"/>
    <w:rPr>
      <w:rFonts w:ascii="Arial" w:hAnsi="Arial" w:eastAsia="Symbol" w:cs="Times New Roman"/>
      <w:b/>
      <w:bCs/>
      <w:sz w:val="32"/>
      <w:szCs w:val="32"/>
    </w:rPr>
  </w:style>
  <w:style w:type="paragraph" w:customStyle="1" w:styleId="32">
    <w:name w:val="表格名称"/>
    <w:basedOn w:val="1"/>
    <w:autoRedefine/>
    <w:qFormat/>
    <w:uiPriority w:val="0"/>
    <w:pPr>
      <w:spacing w:line="360" w:lineRule="auto"/>
      <w:jc w:val="center"/>
    </w:pPr>
    <w:rPr>
      <w:rFonts w:eastAsia="Helv" w:cs="New York"/>
      <w:b/>
      <w:sz w:val="24"/>
      <w:szCs w:val="24"/>
    </w:rPr>
  </w:style>
  <w:style w:type="paragraph" w:customStyle="1" w:styleId="33">
    <w:name w:val="表格文字"/>
    <w:basedOn w:val="29"/>
    <w:next w:val="1"/>
    <w:autoRedefine/>
    <w:qFormat/>
    <w:uiPriority w:val="0"/>
    <w:pPr>
      <w:spacing w:line="360" w:lineRule="exact"/>
    </w:pPr>
    <w:rPr>
      <w:rFonts w:eastAsia="Helv" w:cs="New York"/>
      <w:sz w:val="24"/>
    </w:rPr>
  </w:style>
  <w:style w:type="character" w:customStyle="1" w:styleId="34">
    <w:name w:val="标题 5 Char"/>
    <w:basedOn w:val="22"/>
    <w:link w:val="7"/>
    <w:autoRedefine/>
    <w:semiHidden/>
    <w:qFormat/>
    <w:uiPriority w:val="9"/>
    <w:rPr>
      <w:rFonts w:ascii="Times New Roman" w:hAnsi="Times New Roman" w:eastAsia="Courier New" w:cs="Times New Roman"/>
      <w:b/>
      <w:bCs/>
      <w:sz w:val="28"/>
      <w:szCs w:val="28"/>
    </w:rPr>
  </w:style>
  <w:style w:type="character" w:customStyle="1" w:styleId="35">
    <w:name w:val="正文文本 Char"/>
    <w:basedOn w:val="22"/>
    <w:link w:val="2"/>
    <w:autoRedefine/>
    <w:semiHidden/>
    <w:qFormat/>
    <w:uiPriority w:val="99"/>
    <w:rPr>
      <w:rFonts w:ascii="Times New Roman" w:hAnsi="Times New Roman" w:eastAsia="Courier New" w:cs="Times New Roman"/>
      <w:szCs w:val="21"/>
    </w:rPr>
  </w:style>
  <w:style w:type="character" w:customStyle="1" w:styleId="36">
    <w:name w:val="标题 4 Char"/>
    <w:basedOn w:val="22"/>
    <w:link w:val="6"/>
    <w:autoRedefine/>
    <w:semiHidden/>
    <w:qFormat/>
    <w:uiPriority w:val="9"/>
    <w:rPr>
      <w:rFonts w:asciiTheme="majorHAnsi" w:hAnsiTheme="majorHAnsi" w:eastAsiaTheme="majorEastAsia" w:cstheme="majorBidi"/>
      <w:b/>
      <w:bCs/>
      <w:sz w:val="28"/>
      <w:szCs w:val="28"/>
    </w:rPr>
  </w:style>
  <w:style w:type="character" w:customStyle="1" w:styleId="37">
    <w:name w:val="批注框文本 Char"/>
    <w:basedOn w:val="22"/>
    <w:link w:val="11"/>
    <w:autoRedefine/>
    <w:semiHidden/>
    <w:qFormat/>
    <w:uiPriority w:val="99"/>
    <w:rPr>
      <w:rFonts w:ascii="Times New Roman" w:hAnsi="Times New Roman" w:eastAsia="Courier New" w:cs="Times New Roman"/>
      <w:kern w:val="2"/>
      <w:sz w:val="18"/>
      <w:szCs w:val="18"/>
    </w:rPr>
  </w:style>
  <w:style w:type="table" w:customStyle="1" w:styleId="38">
    <w:name w:val="Table Normal"/>
    <w:autoRedefine/>
    <w:unhideWhenUsed/>
    <w:qFormat/>
    <w:uiPriority w:val="2"/>
    <w:tblPr>
      <w:tblCellMar>
        <w:top w:w="0" w:type="dxa"/>
        <w:left w:w="0" w:type="dxa"/>
        <w:bottom w:w="0" w:type="dxa"/>
        <w:right w:w="0" w:type="dxa"/>
      </w:tblCellMar>
    </w:tblPr>
  </w:style>
  <w:style w:type="paragraph" w:customStyle="1" w:styleId="39">
    <w:name w:val="List Paragraph"/>
    <w:basedOn w:val="1"/>
    <w:autoRedefine/>
    <w:qFormat/>
    <w:uiPriority w:val="1"/>
    <w:pPr>
      <w:autoSpaceDE w:val="0"/>
      <w:autoSpaceDN w:val="0"/>
      <w:ind w:left="109" w:right="99" w:firstLine="641"/>
      <w:jc w:val="left"/>
    </w:pPr>
    <w:rPr>
      <w:rFonts w:ascii="Arial Unicode MS" w:hAnsi="Arial Unicode MS" w:eastAsia="Arial Unicode MS" w:cs="Arial Unicode MS"/>
      <w:kern w:val="0"/>
      <w:sz w:val="22"/>
      <w:szCs w:val="22"/>
      <w:lang w:eastAsia="en-US"/>
    </w:rPr>
  </w:style>
  <w:style w:type="paragraph" w:customStyle="1" w:styleId="40">
    <w:name w:val="Table Paragraph"/>
    <w:basedOn w:val="1"/>
    <w:autoRedefine/>
    <w:qFormat/>
    <w:uiPriority w:val="1"/>
    <w:pPr>
      <w:autoSpaceDE w:val="0"/>
      <w:autoSpaceDN w:val="0"/>
      <w:jc w:val="left"/>
    </w:pPr>
    <w:rPr>
      <w:rFonts w:ascii="宋体" w:hAnsi="宋体" w:eastAsia="宋体" w:cs="宋体"/>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7595</Words>
  <Characters>7852</Characters>
  <Lines>80</Lines>
  <Paragraphs>22</Paragraphs>
  <TotalTime>46</TotalTime>
  <ScaleCrop>false</ScaleCrop>
  <LinksUpToDate>false</LinksUpToDate>
  <CharactersWithSpaces>9241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2022-09-07T01:41:00Z</dcterms:created>
  <dc:creator>Richard Meng</dc:creator>
  <cp:lastModifiedBy>史超</cp:lastModifiedBy>
  <cp:lastPrinted>2024-02-22T01:56:00Z</cp:lastPrinted>
  <dcterms:modified xsi:type="dcterms:W3CDTF">2024-02-26T07:44:14Z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D01B5B60E3BA4123A53948E7047D96F9</vt:lpwstr>
  </property>
  <property fmtid="{D5CDD505-2E9C-101B-9397-08002B2CF9AE}" pid="4" name="commondata">
    <vt:lpwstr>eyJoZGlkIjoiMDUyZTZiOWNhNTRkM2JiNDQwZWRmZDZjZTIwNDhiY2IifQ==</vt:lpwstr>
  </property>
</Properties>
</file>