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078EE7" w14:textId="77777777" w:rsidR="00B7661C" w:rsidRDefault="00B7661C">
      <w:pPr>
        <w:spacing w:line="360" w:lineRule="auto"/>
        <w:jc w:val="center"/>
        <w:rPr>
          <w:rFonts w:ascii="宋体" w:hAnsi="宋体" w:hint="eastAsia"/>
          <w:sz w:val="24"/>
        </w:rPr>
      </w:pPr>
    </w:p>
    <w:p w14:paraId="4601E9A4" w14:textId="77777777" w:rsidR="00B7661C" w:rsidRDefault="00B7661C">
      <w:pPr>
        <w:spacing w:line="360" w:lineRule="auto"/>
        <w:jc w:val="center"/>
        <w:rPr>
          <w:rFonts w:ascii="宋体" w:hAnsi="宋体" w:hint="eastAsia"/>
          <w:sz w:val="24"/>
        </w:rPr>
      </w:pPr>
    </w:p>
    <w:p w14:paraId="526D1B7C" w14:textId="77777777" w:rsidR="00B7661C" w:rsidRDefault="00B7661C">
      <w:pPr>
        <w:spacing w:line="360" w:lineRule="auto"/>
        <w:jc w:val="center"/>
        <w:rPr>
          <w:rFonts w:ascii="宋体" w:hAnsi="宋体" w:hint="eastAsia"/>
          <w:sz w:val="24"/>
        </w:rPr>
      </w:pPr>
    </w:p>
    <w:p w14:paraId="3EC434E5" w14:textId="77777777" w:rsidR="00B7661C" w:rsidRDefault="00B7661C">
      <w:pPr>
        <w:spacing w:line="360" w:lineRule="auto"/>
        <w:jc w:val="center"/>
        <w:rPr>
          <w:rFonts w:ascii="宋体" w:hAnsi="宋体" w:hint="eastAsia"/>
          <w:sz w:val="24"/>
        </w:rPr>
      </w:pPr>
    </w:p>
    <w:p w14:paraId="082E0EA9" w14:textId="77777777" w:rsidR="00B7661C" w:rsidRDefault="00AC1E27">
      <w:pPr>
        <w:keepNext/>
        <w:keepLines/>
        <w:tabs>
          <w:tab w:val="left" w:pos="6669"/>
        </w:tabs>
        <w:autoSpaceDE w:val="0"/>
        <w:autoSpaceDN w:val="0"/>
        <w:adjustRightInd w:val="0"/>
        <w:ind w:left="198"/>
        <w:jc w:val="center"/>
        <w:rPr>
          <w:rFonts w:ascii="方正小标宋简体" w:eastAsia="方正小标宋简体"/>
          <w:sz w:val="44"/>
        </w:rPr>
      </w:pPr>
      <w:r>
        <w:rPr>
          <w:rFonts w:ascii="方正小标宋简体" w:eastAsia="方正小标宋简体" w:hint="eastAsia"/>
          <w:sz w:val="44"/>
        </w:rPr>
        <w:t>2023年度包头市电子商务促进中心</w:t>
      </w:r>
    </w:p>
    <w:p w14:paraId="69F51839" w14:textId="53222BCB" w:rsidR="00B7661C" w:rsidRDefault="00AC1E27">
      <w:pPr>
        <w:keepNext/>
        <w:keepLines/>
        <w:tabs>
          <w:tab w:val="left" w:pos="6669"/>
        </w:tabs>
        <w:autoSpaceDE w:val="0"/>
        <w:autoSpaceDN w:val="0"/>
        <w:adjustRightInd w:val="0"/>
        <w:ind w:left="198"/>
        <w:jc w:val="center"/>
        <w:rPr>
          <w:rFonts w:ascii="方正小标宋简体" w:eastAsia="方正小标宋简体"/>
          <w:sz w:val="44"/>
        </w:rPr>
      </w:pPr>
      <w:r>
        <w:rPr>
          <w:rFonts w:ascii="方正小标宋简体" w:eastAsia="方正小标宋简体" w:hint="eastAsia"/>
          <w:sz w:val="44"/>
        </w:rPr>
        <w:t>决算公开</w:t>
      </w:r>
    </w:p>
    <w:p w14:paraId="7AAF30B3" w14:textId="77777777" w:rsidR="00B7661C" w:rsidRDefault="00B7661C">
      <w:pPr>
        <w:spacing w:line="360" w:lineRule="auto"/>
        <w:jc w:val="center"/>
        <w:rPr>
          <w:rFonts w:ascii="宋体" w:hAnsi="宋体" w:hint="eastAsia"/>
          <w:b/>
          <w:bCs/>
          <w:sz w:val="52"/>
          <w:szCs w:val="52"/>
        </w:rPr>
      </w:pPr>
    </w:p>
    <w:p w14:paraId="2DEC35BE" w14:textId="77777777" w:rsidR="00B7661C" w:rsidRDefault="00B7661C">
      <w:pPr>
        <w:spacing w:line="360" w:lineRule="auto"/>
        <w:jc w:val="center"/>
        <w:rPr>
          <w:rFonts w:ascii="宋体" w:hAnsi="宋体" w:hint="eastAsia"/>
          <w:b/>
          <w:bCs/>
          <w:sz w:val="52"/>
          <w:szCs w:val="52"/>
        </w:rPr>
      </w:pPr>
    </w:p>
    <w:p w14:paraId="59D69775" w14:textId="77777777" w:rsidR="00B7661C" w:rsidRDefault="00B7661C">
      <w:pPr>
        <w:spacing w:line="360" w:lineRule="auto"/>
        <w:jc w:val="center"/>
        <w:rPr>
          <w:rFonts w:ascii="宋体" w:hAnsi="宋体" w:hint="eastAsia"/>
          <w:b/>
          <w:bCs/>
          <w:sz w:val="52"/>
          <w:szCs w:val="52"/>
        </w:rPr>
      </w:pPr>
    </w:p>
    <w:p w14:paraId="187D50C1" w14:textId="77777777" w:rsidR="00B7661C" w:rsidRDefault="00B7661C">
      <w:pPr>
        <w:spacing w:line="360" w:lineRule="auto"/>
        <w:jc w:val="center"/>
        <w:rPr>
          <w:rFonts w:ascii="宋体" w:hAnsi="宋体" w:hint="eastAsia"/>
          <w:b/>
          <w:bCs/>
          <w:sz w:val="52"/>
          <w:szCs w:val="52"/>
        </w:rPr>
      </w:pPr>
    </w:p>
    <w:p w14:paraId="1A8FA926" w14:textId="77777777" w:rsidR="00B7661C" w:rsidRDefault="00B7661C">
      <w:pPr>
        <w:spacing w:line="360" w:lineRule="auto"/>
        <w:jc w:val="center"/>
        <w:rPr>
          <w:rFonts w:ascii="宋体" w:hAnsi="宋体" w:hint="eastAsia"/>
          <w:b/>
          <w:bCs/>
          <w:sz w:val="52"/>
          <w:szCs w:val="52"/>
        </w:rPr>
      </w:pPr>
    </w:p>
    <w:p w14:paraId="1458D0A7" w14:textId="77777777" w:rsidR="00B7661C" w:rsidRDefault="00B7661C">
      <w:pPr>
        <w:spacing w:line="360" w:lineRule="auto"/>
        <w:jc w:val="center"/>
        <w:rPr>
          <w:rFonts w:ascii="宋体" w:hAnsi="宋体" w:hint="eastAsia"/>
          <w:b/>
          <w:bCs/>
          <w:sz w:val="52"/>
          <w:szCs w:val="52"/>
        </w:rPr>
      </w:pPr>
    </w:p>
    <w:p w14:paraId="2E4952D6" w14:textId="77777777" w:rsidR="00B7661C" w:rsidRDefault="00B7661C">
      <w:pPr>
        <w:spacing w:line="360" w:lineRule="auto"/>
        <w:jc w:val="center"/>
        <w:rPr>
          <w:rFonts w:ascii="宋体" w:hAnsi="宋体" w:hint="eastAsia"/>
          <w:b/>
          <w:bCs/>
          <w:sz w:val="52"/>
          <w:szCs w:val="52"/>
        </w:rPr>
      </w:pPr>
    </w:p>
    <w:p w14:paraId="4DFBB01C" w14:textId="77777777" w:rsidR="00B7661C" w:rsidRDefault="00B7661C">
      <w:pPr>
        <w:spacing w:line="360" w:lineRule="auto"/>
        <w:rPr>
          <w:rFonts w:ascii="宋体" w:hAnsi="宋体" w:hint="eastAsia"/>
          <w:b/>
          <w:bCs/>
          <w:sz w:val="52"/>
          <w:szCs w:val="52"/>
        </w:rPr>
      </w:pPr>
    </w:p>
    <w:p w14:paraId="4BA0103E" w14:textId="77777777" w:rsidR="00B7661C" w:rsidRDefault="00B7661C">
      <w:pPr>
        <w:adjustRightInd w:val="0"/>
        <w:snapToGrid w:val="0"/>
        <w:rPr>
          <w:rFonts w:ascii="宋体" w:hAnsi="宋体" w:hint="eastAsia"/>
          <w:b/>
          <w:sz w:val="32"/>
          <w:szCs w:val="32"/>
        </w:rPr>
      </w:pPr>
    </w:p>
    <w:p w14:paraId="569BEDD8" w14:textId="77777777" w:rsidR="00B7661C" w:rsidRDefault="00B7661C">
      <w:pPr>
        <w:adjustRightInd w:val="0"/>
        <w:snapToGrid w:val="0"/>
        <w:rPr>
          <w:rFonts w:ascii="宋体" w:hAnsi="宋体" w:hint="eastAsia"/>
          <w:b/>
          <w:sz w:val="32"/>
          <w:szCs w:val="32"/>
        </w:rPr>
      </w:pPr>
    </w:p>
    <w:p w14:paraId="370050B6" w14:textId="77777777" w:rsidR="00B7661C" w:rsidRDefault="00B7661C">
      <w:pPr>
        <w:adjustRightInd w:val="0"/>
        <w:snapToGrid w:val="0"/>
        <w:rPr>
          <w:rFonts w:ascii="宋体" w:hAnsi="宋体" w:hint="eastAsia"/>
          <w:b/>
          <w:sz w:val="32"/>
          <w:szCs w:val="32"/>
        </w:rPr>
      </w:pPr>
    </w:p>
    <w:p w14:paraId="22251668" w14:textId="77777777" w:rsidR="00B7661C" w:rsidRDefault="00B7661C">
      <w:pPr>
        <w:adjustRightInd w:val="0"/>
        <w:snapToGrid w:val="0"/>
        <w:rPr>
          <w:rFonts w:ascii="宋体" w:hAnsi="宋体" w:hint="eastAsia"/>
          <w:b/>
          <w:sz w:val="32"/>
          <w:szCs w:val="32"/>
        </w:rPr>
      </w:pPr>
    </w:p>
    <w:p w14:paraId="03D967C8" w14:textId="77777777" w:rsidR="00B7661C" w:rsidRDefault="00B7661C">
      <w:pPr>
        <w:adjustRightInd w:val="0"/>
        <w:snapToGrid w:val="0"/>
      </w:pPr>
    </w:p>
    <w:p w14:paraId="466F0885" w14:textId="77777777" w:rsidR="00B7661C" w:rsidRDefault="00B7661C">
      <w:pPr>
        <w:adjustRightInd w:val="0"/>
        <w:snapToGrid w:val="0"/>
        <w:rPr>
          <w:rFonts w:ascii="宋体" w:hAnsi="宋体" w:hint="eastAsia"/>
          <w:b/>
          <w:sz w:val="32"/>
          <w:szCs w:val="32"/>
        </w:rPr>
      </w:pPr>
    </w:p>
    <w:p w14:paraId="2CA6BE3E" w14:textId="77777777" w:rsidR="00B7661C" w:rsidRDefault="00B7661C">
      <w:pPr>
        <w:adjustRightInd w:val="0"/>
        <w:snapToGrid w:val="0"/>
        <w:rPr>
          <w:rFonts w:ascii="宋体" w:hAnsi="宋体" w:hint="eastAsia"/>
          <w:b/>
          <w:sz w:val="32"/>
          <w:szCs w:val="32"/>
        </w:rPr>
      </w:pPr>
    </w:p>
    <w:p w14:paraId="13DD27E5" w14:textId="77777777" w:rsidR="00B7661C" w:rsidRDefault="00AC1E27">
      <w:pPr>
        <w:widowControl/>
        <w:spacing w:after="240"/>
        <w:jc w:val="center"/>
        <w:rPr>
          <w:rFonts w:eastAsia="Times New Roman"/>
          <w:kern w:val="0"/>
          <w:sz w:val="24"/>
        </w:rPr>
      </w:pPr>
      <w:bookmarkStart w:id="0" w:name="a000"/>
      <w:r>
        <w:rPr>
          <w:rFonts w:ascii="Courier New" w:eastAsia="仿宋_GB2312" w:hAnsi="Courier New" w:hint="eastAsia"/>
          <w:b/>
          <w:sz w:val="48"/>
        </w:rPr>
        <w:lastRenderedPageBreak/>
        <w:t>目</w:t>
      </w:r>
      <w:r>
        <w:rPr>
          <w:rFonts w:ascii="Courier New" w:eastAsia="仿宋_GB2312" w:hAnsi="Courier New" w:hint="eastAsia"/>
          <w:b/>
          <w:sz w:val="48"/>
        </w:rPr>
        <w:t xml:space="preserve"> </w:t>
      </w:r>
      <w:r>
        <w:rPr>
          <w:rFonts w:ascii="Courier New" w:eastAsia="仿宋_GB2312" w:hAnsi="Courier New" w:hint="eastAsia"/>
          <w:b/>
          <w:sz w:val="48"/>
        </w:rPr>
        <w:t>录</w:t>
      </w:r>
    </w:p>
    <w:p w14:paraId="265027BA" w14:textId="77777777" w:rsidR="00B7661C" w:rsidRDefault="00AC1E27">
      <w:pPr>
        <w:autoSpaceDE w:val="0"/>
        <w:autoSpaceDN w:val="0"/>
        <w:adjustRightInd w:val="0"/>
        <w:spacing w:line="360" w:lineRule="auto"/>
        <w:rPr>
          <w:rFonts w:ascii="黑体" w:eastAsia="黑体"/>
          <w:sz w:val="32"/>
        </w:rPr>
      </w:pPr>
      <w:r>
        <w:rPr>
          <w:rFonts w:ascii="黑体" w:eastAsia="黑体" w:hint="eastAsia"/>
          <w:sz w:val="32"/>
        </w:rPr>
        <w:t>第一部分 单位概况</w:t>
      </w:r>
    </w:p>
    <w:p w14:paraId="6C10D280" w14:textId="77777777" w:rsidR="00B7661C" w:rsidRDefault="00AC1E27">
      <w:pPr>
        <w:autoSpaceDE w:val="0"/>
        <w:autoSpaceDN w:val="0"/>
        <w:adjustRightInd w:val="0"/>
        <w:spacing w:line="360" w:lineRule="auto"/>
        <w:rPr>
          <w:rFonts w:ascii="仿宋_GB2312" w:eastAsia="仿宋_GB2312"/>
          <w:sz w:val="32"/>
        </w:rPr>
      </w:pPr>
      <w:r>
        <w:rPr>
          <w:rFonts w:ascii="仿宋_GB2312" w:eastAsia="仿宋_GB2312" w:hint="eastAsia"/>
          <w:sz w:val="32"/>
        </w:rPr>
        <w:t>一、主要职能、职责</w:t>
      </w:r>
    </w:p>
    <w:p w14:paraId="5C6860B9" w14:textId="77777777" w:rsidR="00B7661C" w:rsidRDefault="00AC1E27">
      <w:pPr>
        <w:autoSpaceDE w:val="0"/>
        <w:autoSpaceDN w:val="0"/>
        <w:adjustRightInd w:val="0"/>
        <w:spacing w:line="360" w:lineRule="auto"/>
        <w:rPr>
          <w:rFonts w:ascii="仿宋_GB2312" w:eastAsia="仿宋_GB2312"/>
          <w:sz w:val="32"/>
        </w:rPr>
      </w:pPr>
      <w:r>
        <w:rPr>
          <w:rFonts w:ascii="仿宋_GB2312" w:eastAsia="仿宋_GB2312" w:hint="eastAsia"/>
          <w:sz w:val="32"/>
        </w:rPr>
        <w:t>二、单位机构设置及决算单位构成情况</w:t>
      </w:r>
    </w:p>
    <w:p w14:paraId="2B538C86" w14:textId="77777777" w:rsidR="00B7661C" w:rsidRDefault="00AC1E27">
      <w:pPr>
        <w:autoSpaceDE w:val="0"/>
        <w:autoSpaceDN w:val="0"/>
        <w:adjustRightInd w:val="0"/>
        <w:spacing w:line="360" w:lineRule="auto"/>
        <w:rPr>
          <w:rFonts w:ascii="仿宋_GB2312" w:eastAsia="仿宋_GB2312"/>
          <w:sz w:val="32"/>
        </w:rPr>
      </w:pPr>
      <w:r>
        <w:rPr>
          <w:rFonts w:ascii="仿宋_GB2312" w:eastAsia="仿宋_GB2312" w:hint="eastAsia"/>
          <w:sz w:val="32"/>
        </w:rPr>
        <w:t>三、2023年度单位主要工作完成情况</w:t>
      </w:r>
    </w:p>
    <w:p w14:paraId="3F42B910" w14:textId="77777777" w:rsidR="00B7661C" w:rsidRDefault="00AC1E27">
      <w:pPr>
        <w:autoSpaceDE w:val="0"/>
        <w:autoSpaceDN w:val="0"/>
        <w:adjustRightInd w:val="0"/>
        <w:spacing w:line="360" w:lineRule="auto"/>
        <w:rPr>
          <w:rFonts w:ascii="黑体" w:eastAsia="黑体"/>
          <w:sz w:val="32"/>
        </w:rPr>
      </w:pPr>
      <w:r>
        <w:rPr>
          <w:rFonts w:ascii="黑体" w:eastAsia="黑体" w:hint="eastAsia"/>
          <w:sz w:val="32"/>
        </w:rPr>
        <w:t>第二部分 单位决算情况说明</w:t>
      </w:r>
    </w:p>
    <w:p w14:paraId="7DC2601E" w14:textId="77777777" w:rsidR="00B7661C" w:rsidRDefault="00AC1E27">
      <w:pPr>
        <w:autoSpaceDE w:val="0"/>
        <w:autoSpaceDN w:val="0"/>
        <w:adjustRightInd w:val="0"/>
        <w:spacing w:line="360" w:lineRule="auto"/>
        <w:rPr>
          <w:rFonts w:ascii="仿宋_GB2312" w:eastAsia="仿宋_GB2312"/>
          <w:sz w:val="32"/>
        </w:rPr>
      </w:pPr>
      <w:r>
        <w:rPr>
          <w:rFonts w:ascii="仿宋_GB2312" w:eastAsia="仿宋_GB2312" w:hint="eastAsia"/>
          <w:sz w:val="32"/>
        </w:rPr>
        <w:t>一、收入支出决算总体情况说明</w:t>
      </w:r>
    </w:p>
    <w:p w14:paraId="24EE5FC7" w14:textId="77777777" w:rsidR="00B7661C" w:rsidRDefault="00AC1E27">
      <w:pPr>
        <w:autoSpaceDE w:val="0"/>
        <w:autoSpaceDN w:val="0"/>
        <w:adjustRightInd w:val="0"/>
        <w:spacing w:line="360" w:lineRule="auto"/>
        <w:rPr>
          <w:rFonts w:ascii="仿宋_GB2312" w:eastAsia="仿宋_GB2312"/>
          <w:sz w:val="32"/>
        </w:rPr>
      </w:pPr>
      <w:r>
        <w:rPr>
          <w:rFonts w:ascii="仿宋_GB2312" w:eastAsia="仿宋_GB2312" w:hint="eastAsia"/>
          <w:sz w:val="32"/>
        </w:rPr>
        <w:t>二、收入决算情况说明</w:t>
      </w:r>
    </w:p>
    <w:p w14:paraId="67DD18F3" w14:textId="77777777" w:rsidR="00B7661C" w:rsidRDefault="00AC1E27">
      <w:pPr>
        <w:autoSpaceDE w:val="0"/>
        <w:autoSpaceDN w:val="0"/>
        <w:adjustRightInd w:val="0"/>
        <w:spacing w:line="360" w:lineRule="auto"/>
        <w:rPr>
          <w:rFonts w:ascii="仿宋_GB2312" w:eastAsia="仿宋_GB2312"/>
          <w:sz w:val="32"/>
        </w:rPr>
      </w:pPr>
      <w:r>
        <w:rPr>
          <w:rFonts w:ascii="仿宋_GB2312" w:eastAsia="仿宋_GB2312" w:hint="eastAsia"/>
          <w:sz w:val="32"/>
        </w:rPr>
        <w:t>三、支出决算情况说明</w:t>
      </w:r>
    </w:p>
    <w:p w14:paraId="2813234E" w14:textId="77777777" w:rsidR="00B7661C" w:rsidRDefault="00AC1E27">
      <w:pPr>
        <w:autoSpaceDE w:val="0"/>
        <w:autoSpaceDN w:val="0"/>
        <w:adjustRightInd w:val="0"/>
        <w:spacing w:line="360" w:lineRule="auto"/>
        <w:rPr>
          <w:rFonts w:ascii="仿宋_GB2312" w:eastAsia="仿宋_GB2312"/>
          <w:sz w:val="32"/>
        </w:rPr>
      </w:pPr>
      <w:r>
        <w:rPr>
          <w:rFonts w:ascii="仿宋_GB2312" w:eastAsia="仿宋_GB2312" w:hint="eastAsia"/>
          <w:sz w:val="32"/>
        </w:rPr>
        <w:t>四、财政拨款收入支出决算总体情况说明</w:t>
      </w:r>
    </w:p>
    <w:p w14:paraId="013E38F0" w14:textId="77777777" w:rsidR="00B7661C" w:rsidRDefault="00AC1E27">
      <w:pPr>
        <w:autoSpaceDE w:val="0"/>
        <w:autoSpaceDN w:val="0"/>
        <w:adjustRightInd w:val="0"/>
        <w:spacing w:line="360" w:lineRule="auto"/>
        <w:rPr>
          <w:rFonts w:ascii="仿宋_GB2312" w:eastAsia="仿宋_GB2312"/>
          <w:sz w:val="32"/>
        </w:rPr>
      </w:pPr>
      <w:r>
        <w:rPr>
          <w:rFonts w:ascii="仿宋_GB2312" w:eastAsia="仿宋_GB2312" w:hint="eastAsia"/>
          <w:sz w:val="32"/>
        </w:rPr>
        <w:t>五、一般公共预算财政拨款支出决算情况说明</w:t>
      </w:r>
    </w:p>
    <w:p w14:paraId="4B1AFB3F" w14:textId="77777777" w:rsidR="00B7661C" w:rsidRDefault="00AC1E27">
      <w:pPr>
        <w:autoSpaceDE w:val="0"/>
        <w:autoSpaceDN w:val="0"/>
        <w:adjustRightInd w:val="0"/>
        <w:spacing w:line="360" w:lineRule="auto"/>
        <w:rPr>
          <w:rFonts w:ascii="仿宋_GB2312" w:eastAsia="仿宋_GB2312"/>
          <w:sz w:val="32"/>
        </w:rPr>
      </w:pPr>
      <w:r>
        <w:rPr>
          <w:rFonts w:ascii="仿宋_GB2312" w:eastAsia="仿宋_GB2312" w:hint="eastAsia"/>
          <w:sz w:val="32"/>
        </w:rPr>
        <w:t>六、一般公共预算财政拨款基本支出决算情况说明</w:t>
      </w:r>
    </w:p>
    <w:p w14:paraId="6525723B" w14:textId="77777777" w:rsidR="00B7661C" w:rsidRDefault="00AC1E27">
      <w:pPr>
        <w:autoSpaceDE w:val="0"/>
        <w:autoSpaceDN w:val="0"/>
        <w:adjustRightInd w:val="0"/>
        <w:spacing w:line="360" w:lineRule="auto"/>
        <w:rPr>
          <w:rFonts w:ascii="仿宋_GB2312" w:eastAsia="仿宋_GB2312"/>
          <w:sz w:val="32"/>
        </w:rPr>
      </w:pPr>
      <w:r>
        <w:rPr>
          <w:rFonts w:ascii="仿宋_GB2312" w:eastAsia="仿宋_GB2312" w:hint="eastAsia"/>
          <w:sz w:val="32"/>
        </w:rPr>
        <w:t>七、一般公共预算财政拨款项目支出决算情况说明</w:t>
      </w:r>
    </w:p>
    <w:p w14:paraId="689C3EA3" w14:textId="77777777" w:rsidR="00B7661C" w:rsidRDefault="00AC1E27">
      <w:pPr>
        <w:autoSpaceDE w:val="0"/>
        <w:autoSpaceDN w:val="0"/>
        <w:adjustRightInd w:val="0"/>
        <w:spacing w:line="360" w:lineRule="auto"/>
        <w:rPr>
          <w:rFonts w:ascii="仿宋_GB2312" w:eastAsia="仿宋_GB2312"/>
          <w:sz w:val="32"/>
        </w:rPr>
      </w:pPr>
      <w:r>
        <w:rPr>
          <w:rFonts w:ascii="仿宋_GB2312" w:eastAsia="仿宋_GB2312" w:hint="eastAsia"/>
          <w:sz w:val="32"/>
        </w:rPr>
        <w:t>八、财政拨款“三公”经费支出决算情况说明</w:t>
      </w:r>
    </w:p>
    <w:p w14:paraId="4D1BE10F" w14:textId="77777777" w:rsidR="00B7661C" w:rsidRDefault="00AC1E27">
      <w:pPr>
        <w:autoSpaceDE w:val="0"/>
        <w:autoSpaceDN w:val="0"/>
        <w:adjustRightInd w:val="0"/>
        <w:spacing w:line="360" w:lineRule="auto"/>
        <w:rPr>
          <w:rFonts w:ascii="仿宋_GB2312" w:eastAsia="仿宋_GB2312"/>
          <w:sz w:val="32"/>
        </w:rPr>
      </w:pPr>
      <w:r>
        <w:rPr>
          <w:rFonts w:ascii="仿宋_GB2312" w:eastAsia="仿宋_GB2312" w:hint="eastAsia"/>
          <w:sz w:val="32"/>
        </w:rPr>
        <w:t>九、政府性基金预算财政拨款支出决算情况说明</w:t>
      </w:r>
    </w:p>
    <w:p w14:paraId="4195E13A" w14:textId="77777777" w:rsidR="00B7661C" w:rsidRDefault="00AC1E27">
      <w:pPr>
        <w:autoSpaceDE w:val="0"/>
        <w:autoSpaceDN w:val="0"/>
        <w:adjustRightInd w:val="0"/>
        <w:spacing w:line="360" w:lineRule="auto"/>
        <w:rPr>
          <w:rFonts w:ascii="仿宋_GB2312" w:eastAsia="仿宋_GB2312"/>
          <w:sz w:val="32"/>
        </w:rPr>
      </w:pPr>
      <w:r>
        <w:rPr>
          <w:rFonts w:ascii="仿宋_GB2312" w:eastAsia="仿宋_GB2312" w:hint="eastAsia"/>
          <w:sz w:val="32"/>
        </w:rPr>
        <w:t>十、国有资本经营预算财政拨款支出决算情况说明</w:t>
      </w:r>
    </w:p>
    <w:p w14:paraId="2DEE53AD" w14:textId="77777777" w:rsidR="00B7661C" w:rsidRDefault="00AC1E27">
      <w:pPr>
        <w:autoSpaceDE w:val="0"/>
        <w:autoSpaceDN w:val="0"/>
        <w:adjustRightInd w:val="0"/>
        <w:spacing w:line="360" w:lineRule="auto"/>
        <w:rPr>
          <w:rFonts w:ascii="仿宋_GB2312" w:eastAsia="仿宋_GB2312"/>
          <w:sz w:val="32"/>
        </w:rPr>
      </w:pPr>
      <w:r>
        <w:rPr>
          <w:rFonts w:ascii="仿宋_GB2312" w:eastAsia="仿宋_GB2312" w:hint="eastAsia"/>
          <w:sz w:val="32"/>
        </w:rPr>
        <w:t>十一、机构运行经费支出决算情况说明</w:t>
      </w:r>
    </w:p>
    <w:p w14:paraId="2B0CD304" w14:textId="77777777" w:rsidR="00B7661C" w:rsidRDefault="00AC1E27">
      <w:pPr>
        <w:autoSpaceDE w:val="0"/>
        <w:autoSpaceDN w:val="0"/>
        <w:adjustRightInd w:val="0"/>
        <w:spacing w:line="360" w:lineRule="auto"/>
        <w:rPr>
          <w:rFonts w:ascii="仿宋_GB2312" w:eastAsia="仿宋_GB2312"/>
          <w:sz w:val="32"/>
        </w:rPr>
      </w:pPr>
      <w:r>
        <w:rPr>
          <w:rFonts w:ascii="仿宋_GB2312" w:eastAsia="仿宋_GB2312" w:hint="eastAsia"/>
          <w:sz w:val="32"/>
        </w:rPr>
        <w:t>十二、政府采购支出决算情况说明</w:t>
      </w:r>
    </w:p>
    <w:p w14:paraId="2607F8A7" w14:textId="77777777" w:rsidR="00B7661C" w:rsidRDefault="00AC1E27">
      <w:pPr>
        <w:autoSpaceDE w:val="0"/>
        <w:autoSpaceDN w:val="0"/>
        <w:adjustRightInd w:val="0"/>
        <w:spacing w:line="360" w:lineRule="auto"/>
        <w:rPr>
          <w:rFonts w:ascii="仿宋_GB2312" w:eastAsia="仿宋_GB2312"/>
          <w:sz w:val="32"/>
        </w:rPr>
      </w:pPr>
      <w:r>
        <w:rPr>
          <w:rFonts w:ascii="仿宋_GB2312" w:eastAsia="仿宋_GB2312" w:hint="eastAsia"/>
          <w:sz w:val="32"/>
        </w:rPr>
        <w:t>十三、国有资产占用情况说明</w:t>
      </w:r>
    </w:p>
    <w:p w14:paraId="1ADADAFD" w14:textId="77777777" w:rsidR="00B7661C" w:rsidRDefault="00AC1E27">
      <w:pPr>
        <w:autoSpaceDE w:val="0"/>
        <w:autoSpaceDN w:val="0"/>
        <w:adjustRightInd w:val="0"/>
        <w:spacing w:line="360" w:lineRule="auto"/>
        <w:rPr>
          <w:rFonts w:ascii="仿宋_GB2312" w:eastAsia="仿宋_GB2312"/>
          <w:sz w:val="32"/>
        </w:rPr>
      </w:pPr>
      <w:r>
        <w:rPr>
          <w:rFonts w:ascii="仿宋_GB2312" w:eastAsia="仿宋_GB2312" w:hint="eastAsia"/>
          <w:sz w:val="32"/>
        </w:rPr>
        <w:t>十四、预算绩效情况说明</w:t>
      </w:r>
    </w:p>
    <w:p w14:paraId="590FD7DA" w14:textId="77777777" w:rsidR="00B7661C" w:rsidRDefault="00AC1E27">
      <w:pPr>
        <w:autoSpaceDE w:val="0"/>
        <w:autoSpaceDN w:val="0"/>
        <w:adjustRightInd w:val="0"/>
        <w:spacing w:line="360" w:lineRule="auto"/>
        <w:rPr>
          <w:rFonts w:ascii="黑体" w:eastAsia="黑体"/>
          <w:sz w:val="32"/>
        </w:rPr>
      </w:pPr>
      <w:r>
        <w:rPr>
          <w:rFonts w:ascii="黑体" w:eastAsia="黑体" w:hint="eastAsia"/>
          <w:sz w:val="32"/>
        </w:rPr>
        <w:t>第三部分 名词解释</w:t>
      </w:r>
    </w:p>
    <w:p w14:paraId="4FD8AC06" w14:textId="77777777" w:rsidR="00B7661C" w:rsidRDefault="00AC1E27">
      <w:pPr>
        <w:autoSpaceDE w:val="0"/>
        <w:autoSpaceDN w:val="0"/>
        <w:adjustRightInd w:val="0"/>
        <w:spacing w:line="360" w:lineRule="auto"/>
        <w:rPr>
          <w:rFonts w:ascii="黑体" w:eastAsia="黑体"/>
          <w:sz w:val="32"/>
        </w:rPr>
      </w:pPr>
      <w:r>
        <w:rPr>
          <w:rFonts w:ascii="黑体" w:eastAsia="黑体" w:hint="eastAsia"/>
          <w:sz w:val="32"/>
        </w:rPr>
        <w:t>第四部分 决算公开联系方式及信息反馈渠道</w:t>
      </w:r>
    </w:p>
    <w:p w14:paraId="464C3640" w14:textId="77777777" w:rsidR="00B7661C" w:rsidRDefault="00AC1E27">
      <w:pPr>
        <w:autoSpaceDE w:val="0"/>
        <w:autoSpaceDN w:val="0"/>
        <w:adjustRightInd w:val="0"/>
        <w:spacing w:line="360" w:lineRule="auto"/>
        <w:rPr>
          <w:rFonts w:ascii="黑体" w:eastAsia="黑体"/>
          <w:sz w:val="32"/>
        </w:rPr>
      </w:pPr>
      <w:r>
        <w:rPr>
          <w:rFonts w:ascii="黑体" w:eastAsia="黑体" w:hint="eastAsia"/>
          <w:sz w:val="32"/>
        </w:rPr>
        <w:lastRenderedPageBreak/>
        <w:t>第五部分 单位决算表</w:t>
      </w:r>
    </w:p>
    <w:p w14:paraId="74CA0772" w14:textId="77777777" w:rsidR="00B7661C" w:rsidRDefault="00AC1E27">
      <w:pPr>
        <w:autoSpaceDE w:val="0"/>
        <w:autoSpaceDN w:val="0"/>
        <w:adjustRightInd w:val="0"/>
        <w:spacing w:line="360" w:lineRule="auto"/>
        <w:rPr>
          <w:rFonts w:ascii="仿宋_GB2312" w:eastAsia="仿宋_GB2312"/>
          <w:sz w:val="32"/>
        </w:rPr>
      </w:pPr>
      <w:r>
        <w:rPr>
          <w:rFonts w:ascii="仿宋_GB2312" w:eastAsia="仿宋_GB2312" w:hint="eastAsia"/>
          <w:sz w:val="32"/>
        </w:rPr>
        <w:t>一、收入支出决算总表</w:t>
      </w:r>
    </w:p>
    <w:p w14:paraId="058C8439" w14:textId="77777777" w:rsidR="00B7661C" w:rsidRDefault="00AC1E27">
      <w:pPr>
        <w:autoSpaceDE w:val="0"/>
        <w:autoSpaceDN w:val="0"/>
        <w:adjustRightInd w:val="0"/>
        <w:spacing w:line="360" w:lineRule="auto"/>
        <w:rPr>
          <w:rFonts w:ascii="仿宋_GB2312" w:eastAsia="仿宋_GB2312"/>
          <w:sz w:val="32"/>
        </w:rPr>
      </w:pPr>
      <w:r>
        <w:rPr>
          <w:rFonts w:ascii="仿宋_GB2312" w:eastAsia="仿宋_GB2312" w:hint="eastAsia"/>
          <w:sz w:val="32"/>
        </w:rPr>
        <w:t>二、收入决算表</w:t>
      </w:r>
    </w:p>
    <w:p w14:paraId="7AB93015" w14:textId="77777777" w:rsidR="00B7661C" w:rsidRDefault="00AC1E27">
      <w:pPr>
        <w:autoSpaceDE w:val="0"/>
        <w:autoSpaceDN w:val="0"/>
        <w:adjustRightInd w:val="0"/>
        <w:spacing w:line="360" w:lineRule="auto"/>
        <w:rPr>
          <w:rFonts w:ascii="仿宋_GB2312" w:eastAsia="仿宋_GB2312"/>
          <w:sz w:val="32"/>
        </w:rPr>
      </w:pPr>
      <w:r>
        <w:rPr>
          <w:rFonts w:ascii="仿宋_GB2312" w:eastAsia="仿宋_GB2312" w:hint="eastAsia"/>
          <w:sz w:val="32"/>
        </w:rPr>
        <w:t>三、支出决算表</w:t>
      </w:r>
    </w:p>
    <w:p w14:paraId="2D768A5E" w14:textId="77777777" w:rsidR="00B7661C" w:rsidRDefault="00AC1E27">
      <w:pPr>
        <w:autoSpaceDE w:val="0"/>
        <w:autoSpaceDN w:val="0"/>
        <w:adjustRightInd w:val="0"/>
        <w:spacing w:line="360" w:lineRule="auto"/>
        <w:rPr>
          <w:rFonts w:ascii="仿宋_GB2312" w:eastAsia="仿宋_GB2312"/>
          <w:sz w:val="32"/>
        </w:rPr>
      </w:pPr>
      <w:r>
        <w:rPr>
          <w:rFonts w:ascii="仿宋_GB2312" w:eastAsia="仿宋_GB2312" w:hint="eastAsia"/>
          <w:sz w:val="32"/>
        </w:rPr>
        <w:t>四、财政拨款收入支出决算总表</w:t>
      </w:r>
    </w:p>
    <w:p w14:paraId="37A711FD" w14:textId="77777777" w:rsidR="00B7661C" w:rsidRDefault="00AC1E27">
      <w:pPr>
        <w:autoSpaceDE w:val="0"/>
        <w:autoSpaceDN w:val="0"/>
        <w:adjustRightInd w:val="0"/>
        <w:spacing w:line="360" w:lineRule="auto"/>
        <w:rPr>
          <w:rFonts w:ascii="仿宋_GB2312" w:eastAsia="仿宋_GB2312"/>
          <w:sz w:val="32"/>
        </w:rPr>
      </w:pPr>
      <w:r>
        <w:rPr>
          <w:rFonts w:ascii="仿宋_GB2312" w:eastAsia="仿宋_GB2312" w:hint="eastAsia"/>
          <w:sz w:val="32"/>
        </w:rPr>
        <w:t>五、一般公共预算财政拨款支出决算表</w:t>
      </w:r>
    </w:p>
    <w:p w14:paraId="1F69E896" w14:textId="77777777" w:rsidR="00B7661C" w:rsidRDefault="00AC1E27">
      <w:pPr>
        <w:autoSpaceDE w:val="0"/>
        <w:autoSpaceDN w:val="0"/>
        <w:adjustRightInd w:val="0"/>
        <w:spacing w:line="360" w:lineRule="auto"/>
        <w:rPr>
          <w:rFonts w:ascii="仿宋_GB2312" w:eastAsia="仿宋_GB2312"/>
          <w:sz w:val="32"/>
        </w:rPr>
      </w:pPr>
      <w:r>
        <w:rPr>
          <w:rFonts w:ascii="仿宋_GB2312" w:eastAsia="仿宋_GB2312" w:hint="eastAsia"/>
          <w:sz w:val="32"/>
        </w:rPr>
        <w:t>六、一般公共预算财政拨款基本支出决算明细表</w:t>
      </w:r>
    </w:p>
    <w:p w14:paraId="3D0C7585" w14:textId="77777777" w:rsidR="00B7661C" w:rsidRDefault="00AC1E27">
      <w:pPr>
        <w:autoSpaceDE w:val="0"/>
        <w:autoSpaceDN w:val="0"/>
        <w:adjustRightInd w:val="0"/>
        <w:spacing w:line="360" w:lineRule="auto"/>
        <w:rPr>
          <w:rFonts w:ascii="仿宋_GB2312" w:eastAsia="仿宋_GB2312"/>
          <w:sz w:val="32"/>
        </w:rPr>
      </w:pPr>
      <w:r>
        <w:rPr>
          <w:rFonts w:ascii="仿宋_GB2312" w:eastAsia="仿宋_GB2312" w:hint="eastAsia"/>
          <w:sz w:val="32"/>
        </w:rPr>
        <w:t>七、一般公共预算财政拨款项目支出决算明细表</w:t>
      </w:r>
    </w:p>
    <w:p w14:paraId="22053D8B" w14:textId="77777777" w:rsidR="00B7661C" w:rsidRDefault="00AC1E27">
      <w:pPr>
        <w:autoSpaceDE w:val="0"/>
        <w:autoSpaceDN w:val="0"/>
        <w:adjustRightInd w:val="0"/>
        <w:spacing w:line="360" w:lineRule="auto"/>
        <w:rPr>
          <w:rFonts w:ascii="仿宋_GB2312" w:eastAsia="仿宋_GB2312"/>
          <w:sz w:val="32"/>
        </w:rPr>
      </w:pPr>
      <w:r>
        <w:rPr>
          <w:rFonts w:ascii="仿宋_GB2312" w:eastAsia="仿宋_GB2312" w:hint="eastAsia"/>
          <w:sz w:val="32"/>
        </w:rPr>
        <w:t>八、政府性基金预算财政拨款收入支出决算表</w:t>
      </w:r>
    </w:p>
    <w:p w14:paraId="3E16C940" w14:textId="77777777" w:rsidR="00B7661C" w:rsidRDefault="00AC1E27">
      <w:pPr>
        <w:autoSpaceDE w:val="0"/>
        <w:autoSpaceDN w:val="0"/>
        <w:adjustRightInd w:val="0"/>
        <w:spacing w:line="360" w:lineRule="auto"/>
        <w:rPr>
          <w:rFonts w:ascii="仿宋_GB2312" w:eastAsia="仿宋_GB2312"/>
          <w:sz w:val="32"/>
        </w:rPr>
      </w:pPr>
      <w:r>
        <w:rPr>
          <w:rFonts w:ascii="仿宋_GB2312" w:eastAsia="仿宋_GB2312" w:hint="eastAsia"/>
          <w:sz w:val="32"/>
        </w:rPr>
        <w:t>九、国有资本经营预算财政拨款支出决算表</w:t>
      </w:r>
    </w:p>
    <w:p w14:paraId="0B33683B" w14:textId="77777777" w:rsidR="00B7661C" w:rsidRDefault="00AC1E27">
      <w:pPr>
        <w:autoSpaceDE w:val="0"/>
        <w:autoSpaceDN w:val="0"/>
        <w:adjustRightInd w:val="0"/>
        <w:spacing w:line="360" w:lineRule="auto"/>
        <w:rPr>
          <w:rFonts w:ascii="仿宋_GB2312" w:eastAsia="仿宋_GB2312"/>
          <w:sz w:val="32"/>
        </w:rPr>
      </w:pPr>
      <w:r>
        <w:rPr>
          <w:rFonts w:ascii="仿宋_GB2312" w:eastAsia="仿宋_GB2312" w:hint="eastAsia"/>
          <w:sz w:val="32"/>
        </w:rPr>
        <w:t>十、财政拨款“三公”经费支出决算表</w:t>
      </w:r>
    </w:p>
    <w:p w14:paraId="4E3259F4" w14:textId="77777777" w:rsidR="00B7661C" w:rsidRDefault="00AC1E27">
      <w:pPr>
        <w:autoSpaceDE w:val="0"/>
        <w:autoSpaceDN w:val="0"/>
        <w:adjustRightInd w:val="0"/>
        <w:spacing w:line="360" w:lineRule="auto"/>
        <w:rPr>
          <w:rFonts w:eastAsia="Times New Roman"/>
          <w:kern w:val="0"/>
          <w:sz w:val="24"/>
        </w:rPr>
      </w:pPr>
      <w:r>
        <w:rPr>
          <w:rFonts w:ascii="仿宋_GB2312" w:eastAsia="仿宋_GB2312" w:hint="eastAsia"/>
          <w:sz w:val="32"/>
        </w:rPr>
        <w:t>十一、机构运行经费支出、国有资产占用情况及政府采购支出信息表</w:t>
      </w:r>
    </w:p>
    <w:p w14:paraId="7CB1BA28" w14:textId="77777777" w:rsidR="00B7661C" w:rsidRDefault="00B7661C">
      <w:pPr>
        <w:widowControl/>
        <w:spacing w:before="240" w:after="240"/>
        <w:jc w:val="center"/>
        <w:rPr>
          <w:rFonts w:ascii="fang_zheng_xiao_biao_song_ti" w:eastAsia="fang_zheng_xiao_biao_song_ti" w:hAnsi="fang_zheng_xiao_biao_song_ti" w:cs="fang_zheng_xiao_biao_song_ti"/>
          <w:b/>
          <w:bCs/>
          <w:color w:val="000000"/>
          <w:kern w:val="0"/>
          <w:sz w:val="36"/>
          <w:szCs w:val="36"/>
        </w:rPr>
      </w:pPr>
    </w:p>
    <w:p w14:paraId="493F8C8A" w14:textId="77777777" w:rsidR="00B7661C" w:rsidRDefault="00B7661C">
      <w:pPr>
        <w:widowControl/>
        <w:spacing w:before="240" w:after="240"/>
        <w:jc w:val="center"/>
        <w:rPr>
          <w:rFonts w:ascii="fang_zheng_xiao_biao_song_ti" w:eastAsia="fang_zheng_xiao_biao_song_ti" w:hAnsi="fang_zheng_xiao_biao_song_ti" w:cs="fang_zheng_xiao_biao_song_ti"/>
          <w:b/>
          <w:bCs/>
          <w:color w:val="000000"/>
          <w:kern w:val="0"/>
          <w:sz w:val="36"/>
          <w:szCs w:val="36"/>
        </w:rPr>
      </w:pPr>
    </w:p>
    <w:p w14:paraId="25FF554A" w14:textId="77777777" w:rsidR="00B7661C" w:rsidRDefault="00B7661C">
      <w:pPr>
        <w:widowControl/>
        <w:spacing w:before="240" w:after="240"/>
        <w:jc w:val="center"/>
        <w:rPr>
          <w:rFonts w:ascii="fang_zheng_xiao_biao_song_ti" w:eastAsia="fang_zheng_xiao_biao_song_ti" w:hAnsi="fang_zheng_xiao_biao_song_ti" w:cs="fang_zheng_xiao_biao_song_ti"/>
          <w:b/>
          <w:bCs/>
          <w:color w:val="000000"/>
          <w:kern w:val="0"/>
          <w:sz w:val="36"/>
          <w:szCs w:val="36"/>
        </w:rPr>
      </w:pPr>
    </w:p>
    <w:p w14:paraId="4F77B27A" w14:textId="77777777" w:rsidR="00B7661C" w:rsidRDefault="00B7661C">
      <w:pPr>
        <w:widowControl/>
        <w:spacing w:before="240" w:after="240"/>
        <w:jc w:val="center"/>
        <w:rPr>
          <w:rFonts w:ascii="fang_zheng_xiao_biao_song_ti" w:eastAsia="fang_zheng_xiao_biao_song_ti" w:hAnsi="fang_zheng_xiao_biao_song_ti" w:cs="fang_zheng_xiao_biao_song_ti"/>
          <w:b/>
          <w:bCs/>
          <w:color w:val="000000"/>
          <w:kern w:val="0"/>
          <w:sz w:val="36"/>
          <w:szCs w:val="36"/>
        </w:rPr>
      </w:pPr>
    </w:p>
    <w:p w14:paraId="3E06CDCF" w14:textId="77777777" w:rsidR="00B7661C" w:rsidRDefault="00B7661C">
      <w:pPr>
        <w:widowControl/>
        <w:spacing w:before="240" w:after="240"/>
        <w:jc w:val="center"/>
        <w:rPr>
          <w:rFonts w:ascii="fang_zheng_xiao_biao_song_ti" w:eastAsia="fang_zheng_xiao_biao_song_ti" w:hAnsi="fang_zheng_xiao_biao_song_ti" w:cs="fang_zheng_xiao_biao_song_ti"/>
          <w:b/>
          <w:bCs/>
          <w:color w:val="000000"/>
          <w:kern w:val="0"/>
          <w:sz w:val="36"/>
          <w:szCs w:val="36"/>
        </w:rPr>
      </w:pPr>
    </w:p>
    <w:p w14:paraId="26124FB9" w14:textId="77777777" w:rsidR="00B7661C" w:rsidRDefault="00AC1E27">
      <w:pPr>
        <w:autoSpaceDE w:val="0"/>
        <w:autoSpaceDN w:val="0"/>
        <w:adjustRightInd w:val="0"/>
        <w:spacing w:line="600" w:lineRule="exact"/>
        <w:jc w:val="center"/>
        <w:rPr>
          <w:rFonts w:ascii="方正小标宋简体" w:eastAsia="方正小标宋简体"/>
          <w:sz w:val="36"/>
        </w:rPr>
      </w:pPr>
      <w:r>
        <w:rPr>
          <w:rFonts w:ascii="方正小标宋简体" w:eastAsia="方正小标宋简体" w:hint="eastAsia"/>
          <w:sz w:val="36"/>
        </w:rPr>
        <w:lastRenderedPageBreak/>
        <w:t>第一部分 单位概况</w:t>
      </w:r>
    </w:p>
    <w:p w14:paraId="278937A9" w14:textId="77777777" w:rsidR="00B7661C" w:rsidRDefault="00AC1E27">
      <w:pPr>
        <w:autoSpaceDE w:val="0"/>
        <w:autoSpaceDN w:val="0"/>
        <w:adjustRightInd w:val="0"/>
        <w:spacing w:line="600" w:lineRule="exact"/>
        <w:ind w:left="424" w:firstLine="212"/>
        <w:rPr>
          <w:rFonts w:ascii="黑体" w:eastAsia="黑体"/>
          <w:b/>
          <w:sz w:val="32"/>
        </w:rPr>
      </w:pPr>
      <w:r>
        <w:rPr>
          <w:rFonts w:ascii="黑体" w:eastAsia="黑体" w:hint="eastAsia"/>
          <w:b/>
          <w:sz w:val="32"/>
        </w:rPr>
        <w:t>一、主要职能、职责</w:t>
      </w:r>
    </w:p>
    <w:p w14:paraId="562924DC" w14:textId="77777777" w:rsidR="00B7661C" w:rsidRDefault="00AC1E27">
      <w:pPr>
        <w:autoSpaceDE w:val="0"/>
        <w:autoSpaceDN w:val="0"/>
        <w:adjustRightInd w:val="0"/>
        <w:spacing w:line="560" w:lineRule="exact"/>
        <w:ind w:firstLine="640"/>
        <w:rPr>
          <w:rFonts w:ascii="仿宋_GB2312" w:eastAsia="仿宋_GB2312"/>
          <w:sz w:val="32"/>
        </w:rPr>
      </w:pPr>
      <w:r>
        <w:rPr>
          <w:rFonts w:ascii="仿宋_GB2312" w:eastAsia="仿宋_GB2312" w:hint="eastAsia"/>
          <w:sz w:val="32"/>
        </w:rPr>
        <w:t>1.</w:t>
      </w:r>
      <w:proofErr w:type="gramStart"/>
      <w:r>
        <w:rPr>
          <w:rFonts w:ascii="仿宋_GB2312" w:eastAsia="仿宋_GB2312" w:hint="eastAsia"/>
          <w:sz w:val="32"/>
        </w:rPr>
        <w:t>配合局</w:t>
      </w:r>
      <w:proofErr w:type="gramEnd"/>
      <w:r>
        <w:rPr>
          <w:rFonts w:ascii="仿宋_GB2312" w:eastAsia="仿宋_GB2312" w:hint="eastAsia"/>
          <w:sz w:val="32"/>
        </w:rPr>
        <w:t>机关商务大数据的集成和信息发布，协助局机关做好门户网站、电子政务和信息化工作。</w:t>
      </w:r>
    </w:p>
    <w:p w14:paraId="0377FD4B" w14:textId="77777777" w:rsidR="00B7661C" w:rsidRDefault="00AC1E27">
      <w:pPr>
        <w:autoSpaceDE w:val="0"/>
        <w:autoSpaceDN w:val="0"/>
        <w:adjustRightInd w:val="0"/>
        <w:spacing w:line="560" w:lineRule="exact"/>
        <w:ind w:firstLine="640"/>
        <w:rPr>
          <w:rFonts w:ascii="仿宋_GB2312" w:eastAsia="仿宋_GB2312"/>
          <w:sz w:val="32"/>
        </w:rPr>
      </w:pPr>
      <w:r>
        <w:rPr>
          <w:rFonts w:ascii="仿宋_GB2312" w:eastAsia="仿宋_GB2312" w:hint="eastAsia"/>
          <w:sz w:val="32"/>
        </w:rPr>
        <w:t>2.负责国内外知名电子商务企业的引进和本地电子商务企业的培育工作，培养引进电子商务应用人才。</w:t>
      </w:r>
    </w:p>
    <w:p w14:paraId="2D3CD2E8" w14:textId="77777777" w:rsidR="00B7661C" w:rsidRDefault="00AC1E27">
      <w:pPr>
        <w:autoSpaceDE w:val="0"/>
        <w:autoSpaceDN w:val="0"/>
        <w:adjustRightInd w:val="0"/>
        <w:spacing w:line="560" w:lineRule="exact"/>
        <w:ind w:firstLine="640"/>
        <w:rPr>
          <w:rFonts w:ascii="仿宋_GB2312" w:eastAsia="仿宋_GB2312"/>
          <w:sz w:val="32"/>
        </w:rPr>
      </w:pPr>
      <w:r>
        <w:rPr>
          <w:rFonts w:ascii="仿宋_GB2312" w:eastAsia="仿宋_GB2312" w:hint="eastAsia"/>
          <w:sz w:val="32"/>
        </w:rPr>
        <w:t>3.负责全市电子商务的信息收集、监测统计和汇总上报工作。</w:t>
      </w:r>
    </w:p>
    <w:p w14:paraId="1173CBA7" w14:textId="77777777" w:rsidR="00B7661C" w:rsidRDefault="00AC1E27">
      <w:pPr>
        <w:autoSpaceDE w:val="0"/>
        <w:autoSpaceDN w:val="0"/>
        <w:adjustRightInd w:val="0"/>
        <w:spacing w:line="560" w:lineRule="exact"/>
        <w:ind w:firstLine="640"/>
        <w:rPr>
          <w:rFonts w:ascii="仿宋_GB2312" w:eastAsia="仿宋_GB2312"/>
          <w:sz w:val="32"/>
        </w:rPr>
      </w:pPr>
      <w:r>
        <w:rPr>
          <w:rFonts w:ascii="仿宋_GB2312" w:eastAsia="仿宋_GB2312" w:hint="eastAsia"/>
          <w:sz w:val="32"/>
        </w:rPr>
        <w:t>4.承担市商务局交办的其他相关工作。</w:t>
      </w:r>
    </w:p>
    <w:p w14:paraId="22587014" w14:textId="77777777" w:rsidR="00B7661C" w:rsidRDefault="00AC1E27">
      <w:pPr>
        <w:autoSpaceDE w:val="0"/>
        <w:autoSpaceDN w:val="0"/>
        <w:adjustRightInd w:val="0"/>
        <w:spacing w:line="600" w:lineRule="exact"/>
        <w:ind w:left="424" w:firstLine="212"/>
        <w:rPr>
          <w:rFonts w:ascii="黑体" w:eastAsia="黑体"/>
          <w:b/>
          <w:sz w:val="32"/>
        </w:rPr>
      </w:pPr>
      <w:r>
        <w:rPr>
          <w:rFonts w:ascii="黑体" w:eastAsia="黑体" w:hint="eastAsia"/>
          <w:b/>
          <w:sz w:val="32"/>
        </w:rPr>
        <w:t>二、单位机构设置及决算单位构成情况</w:t>
      </w:r>
    </w:p>
    <w:p w14:paraId="35D081C3" w14:textId="77777777" w:rsidR="00B7661C" w:rsidRDefault="00AC1E27">
      <w:pPr>
        <w:autoSpaceDE w:val="0"/>
        <w:autoSpaceDN w:val="0"/>
        <w:adjustRightInd w:val="0"/>
        <w:spacing w:line="560" w:lineRule="exact"/>
        <w:ind w:firstLine="640"/>
        <w:rPr>
          <w:rFonts w:ascii="仿宋_GB2312" w:eastAsia="仿宋_GB2312"/>
          <w:sz w:val="32"/>
        </w:rPr>
      </w:pPr>
      <w:r>
        <w:rPr>
          <w:rFonts w:ascii="仿宋_GB2312" w:eastAsia="仿宋_GB2312" w:hint="eastAsia"/>
          <w:sz w:val="32"/>
        </w:rPr>
        <w:t>1.根据单位职责分工，本单位内设机构包括内设机构3个，分别为办公室、综合科、业务科。本单位无下属单位。</w:t>
      </w:r>
    </w:p>
    <w:p w14:paraId="1B0EEF28" w14:textId="77777777" w:rsidR="00B7661C" w:rsidRDefault="00AC1E27">
      <w:pPr>
        <w:autoSpaceDE w:val="0"/>
        <w:autoSpaceDN w:val="0"/>
        <w:adjustRightInd w:val="0"/>
        <w:spacing w:line="560" w:lineRule="exact"/>
        <w:ind w:firstLine="640"/>
        <w:rPr>
          <w:rFonts w:ascii="仿宋_GB2312" w:eastAsia="仿宋_GB2312"/>
          <w:sz w:val="32"/>
        </w:rPr>
      </w:pPr>
      <w:r>
        <w:rPr>
          <w:rFonts w:ascii="仿宋_GB2312" w:eastAsia="仿宋_GB2312" w:hint="eastAsia"/>
          <w:sz w:val="32"/>
        </w:rPr>
        <w:t>2.从决算单位构成看，纳入本部门2023年部门汇总决算编制范围的预算单位共计1家，具体包括：包头市电子商务促进中心。详细情况见表：</w:t>
      </w:r>
    </w:p>
    <w:tbl>
      <w:tblPr>
        <w:tblW w:w="4998" w:type="pct"/>
        <w:jc w:val="center"/>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firstRow="1" w:lastRow="0" w:firstColumn="1" w:lastColumn="0" w:noHBand="0" w:noVBand="1"/>
      </w:tblPr>
      <w:tblGrid>
        <w:gridCol w:w="803"/>
        <w:gridCol w:w="4511"/>
        <w:gridCol w:w="4466"/>
      </w:tblGrid>
      <w:tr w:rsidR="00B7661C" w14:paraId="284F1A2C" w14:textId="77777777">
        <w:trPr>
          <w:trHeight w:val="460"/>
          <w:tblHeader/>
          <w:jc w:val="center"/>
        </w:trPr>
        <w:tc>
          <w:tcPr>
            <w:tcW w:w="410" w:type="pct"/>
            <w:tcBorders>
              <w:bottom w:val="inset" w:sz="6" w:space="0" w:color="808080"/>
              <w:right w:val="inset" w:sz="6" w:space="0" w:color="808080"/>
            </w:tcBorders>
            <w:tcMar>
              <w:top w:w="22" w:type="dxa"/>
              <w:left w:w="22" w:type="dxa"/>
              <w:bottom w:w="22" w:type="dxa"/>
              <w:right w:w="22" w:type="dxa"/>
            </w:tcMar>
            <w:vAlign w:val="center"/>
          </w:tcPr>
          <w:p w14:paraId="26F998CA" w14:textId="77777777" w:rsidR="00B7661C" w:rsidRDefault="00AC1E27">
            <w:pPr>
              <w:widowControl/>
              <w:spacing w:before="240" w:after="240"/>
              <w:jc w:val="center"/>
              <w:rPr>
                <w:rFonts w:ascii="仿宋_GB2312" w:eastAsia="仿宋_GB2312"/>
                <w:sz w:val="32"/>
              </w:rPr>
            </w:pPr>
            <w:r>
              <w:rPr>
                <w:rFonts w:ascii="仿宋_GB2312" w:eastAsia="仿宋_GB2312" w:hint="eastAsia"/>
                <w:sz w:val="32"/>
              </w:rPr>
              <w:t>序号</w:t>
            </w:r>
          </w:p>
        </w:tc>
        <w:tc>
          <w:tcPr>
            <w:tcW w:w="2306" w:type="pct"/>
            <w:tcBorders>
              <w:left w:val="inset" w:sz="6" w:space="0" w:color="808080"/>
              <w:bottom w:val="inset" w:sz="6" w:space="0" w:color="808080"/>
              <w:right w:val="inset" w:sz="6" w:space="0" w:color="808080"/>
            </w:tcBorders>
            <w:tcMar>
              <w:top w:w="22" w:type="dxa"/>
              <w:left w:w="22" w:type="dxa"/>
              <w:bottom w:w="22" w:type="dxa"/>
              <w:right w:w="22" w:type="dxa"/>
            </w:tcMar>
            <w:vAlign w:val="center"/>
          </w:tcPr>
          <w:p w14:paraId="50674D41" w14:textId="77777777" w:rsidR="00B7661C" w:rsidRDefault="00AC1E27">
            <w:pPr>
              <w:widowControl/>
              <w:spacing w:before="240" w:after="240"/>
              <w:jc w:val="center"/>
              <w:rPr>
                <w:rFonts w:ascii="仿宋_GB2312" w:eastAsia="仿宋_GB2312"/>
                <w:sz w:val="32"/>
              </w:rPr>
            </w:pPr>
            <w:r>
              <w:rPr>
                <w:rFonts w:ascii="仿宋_GB2312" w:eastAsia="仿宋_GB2312" w:hint="eastAsia"/>
                <w:sz w:val="32"/>
              </w:rPr>
              <w:t>单位名称</w:t>
            </w:r>
          </w:p>
        </w:tc>
        <w:tc>
          <w:tcPr>
            <w:tcW w:w="2283" w:type="pct"/>
            <w:tcBorders>
              <w:left w:val="inset" w:sz="6" w:space="0" w:color="808080"/>
              <w:bottom w:val="inset" w:sz="6" w:space="0" w:color="808080"/>
            </w:tcBorders>
            <w:tcMar>
              <w:top w:w="22" w:type="dxa"/>
              <w:left w:w="22" w:type="dxa"/>
              <w:bottom w:w="22" w:type="dxa"/>
              <w:right w:w="22" w:type="dxa"/>
            </w:tcMar>
            <w:vAlign w:val="center"/>
          </w:tcPr>
          <w:p w14:paraId="260BA895" w14:textId="77777777" w:rsidR="00B7661C" w:rsidRDefault="00AC1E27">
            <w:pPr>
              <w:widowControl/>
              <w:spacing w:before="240" w:after="240"/>
              <w:jc w:val="center"/>
              <w:rPr>
                <w:rFonts w:ascii="仿宋_GB2312" w:eastAsia="仿宋_GB2312"/>
                <w:sz w:val="32"/>
              </w:rPr>
            </w:pPr>
            <w:r>
              <w:rPr>
                <w:rFonts w:ascii="仿宋_GB2312" w:eastAsia="仿宋_GB2312" w:hint="eastAsia"/>
                <w:sz w:val="32"/>
              </w:rPr>
              <w:t>单位性质</w:t>
            </w:r>
          </w:p>
        </w:tc>
      </w:tr>
      <w:tr w:rsidR="00B7661C" w14:paraId="47A3C803" w14:textId="77777777">
        <w:trPr>
          <w:trHeight w:val="369"/>
          <w:jc w:val="center"/>
        </w:trPr>
        <w:tc>
          <w:tcPr>
            <w:tcW w:w="410" w:type="pct"/>
            <w:tcBorders>
              <w:top w:val="inset" w:sz="6" w:space="0" w:color="808080"/>
              <w:bottom w:val="inset" w:sz="6" w:space="0" w:color="808080"/>
              <w:right w:val="inset" w:sz="6" w:space="0" w:color="808080"/>
            </w:tcBorders>
            <w:tcMar>
              <w:top w:w="22" w:type="dxa"/>
              <w:left w:w="22" w:type="dxa"/>
              <w:bottom w:w="22" w:type="dxa"/>
              <w:right w:w="22" w:type="dxa"/>
            </w:tcMar>
            <w:vAlign w:val="center"/>
          </w:tcPr>
          <w:p w14:paraId="7DABCCBE" w14:textId="77777777" w:rsidR="00B7661C" w:rsidRDefault="00AC1E27">
            <w:pPr>
              <w:widowControl/>
              <w:spacing w:before="240" w:after="240"/>
              <w:jc w:val="center"/>
              <w:rPr>
                <w:rFonts w:ascii="仿宋_GB2312" w:eastAsia="仿宋_GB2312"/>
                <w:sz w:val="32"/>
              </w:rPr>
            </w:pPr>
            <w:r>
              <w:rPr>
                <w:rFonts w:ascii="仿宋_GB2312" w:eastAsia="仿宋_GB2312" w:hint="eastAsia"/>
                <w:sz w:val="32"/>
              </w:rPr>
              <w:t>1</w:t>
            </w:r>
          </w:p>
        </w:tc>
        <w:tc>
          <w:tcPr>
            <w:tcW w:w="2306" w:type="pct"/>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2DA8F28" w14:textId="77777777" w:rsidR="00B7661C" w:rsidRDefault="00AC1E27">
            <w:pPr>
              <w:widowControl/>
              <w:spacing w:before="240" w:after="240"/>
              <w:jc w:val="center"/>
              <w:rPr>
                <w:rFonts w:ascii="仿宋_GB2312" w:eastAsia="仿宋_GB2312"/>
                <w:sz w:val="32"/>
              </w:rPr>
            </w:pPr>
            <w:r>
              <w:rPr>
                <w:rFonts w:ascii="仿宋_GB2312" w:eastAsia="仿宋_GB2312" w:hint="eastAsia"/>
                <w:sz w:val="32"/>
              </w:rPr>
              <w:t>包头市电子商务促进中心</w:t>
            </w:r>
          </w:p>
        </w:tc>
        <w:tc>
          <w:tcPr>
            <w:tcW w:w="2283" w:type="pct"/>
            <w:tcBorders>
              <w:top w:val="inset" w:sz="6" w:space="0" w:color="808080"/>
              <w:left w:val="inset" w:sz="6" w:space="0" w:color="808080"/>
              <w:bottom w:val="inset" w:sz="6" w:space="0" w:color="808080"/>
            </w:tcBorders>
            <w:tcMar>
              <w:top w:w="22" w:type="dxa"/>
              <w:left w:w="22" w:type="dxa"/>
              <w:bottom w:w="22" w:type="dxa"/>
              <w:right w:w="22" w:type="dxa"/>
            </w:tcMar>
            <w:vAlign w:val="center"/>
          </w:tcPr>
          <w:p w14:paraId="55B2CE5E" w14:textId="77777777" w:rsidR="00B7661C" w:rsidRDefault="00AC1E27">
            <w:pPr>
              <w:widowControl/>
              <w:spacing w:before="240" w:after="240"/>
              <w:jc w:val="center"/>
              <w:rPr>
                <w:rFonts w:ascii="仿宋_GB2312" w:eastAsia="仿宋_GB2312"/>
                <w:sz w:val="32"/>
              </w:rPr>
            </w:pPr>
            <w:r>
              <w:rPr>
                <w:rFonts w:ascii="仿宋_GB2312" w:eastAsia="仿宋_GB2312" w:hint="eastAsia"/>
                <w:sz w:val="32"/>
              </w:rPr>
              <w:t>公益一类事业单位</w:t>
            </w:r>
          </w:p>
        </w:tc>
      </w:tr>
    </w:tbl>
    <w:p w14:paraId="713CE916" w14:textId="77777777" w:rsidR="00B7661C" w:rsidRDefault="00AC1E27">
      <w:pPr>
        <w:autoSpaceDE w:val="0"/>
        <w:autoSpaceDN w:val="0"/>
        <w:adjustRightInd w:val="0"/>
        <w:spacing w:line="600" w:lineRule="exact"/>
        <w:ind w:left="424" w:firstLine="212"/>
        <w:rPr>
          <w:rFonts w:ascii="黑体" w:eastAsia="黑体"/>
          <w:b/>
          <w:sz w:val="32"/>
        </w:rPr>
      </w:pPr>
      <w:r>
        <w:rPr>
          <w:rFonts w:ascii="黑体" w:eastAsia="黑体" w:hint="eastAsia"/>
          <w:b/>
          <w:sz w:val="32"/>
        </w:rPr>
        <w:t xml:space="preserve"> 三、2023年度单位主要工作完成情况</w:t>
      </w:r>
    </w:p>
    <w:p w14:paraId="48C6F491" w14:textId="77777777" w:rsidR="00B7661C" w:rsidRDefault="00AC1E27">
      <w:pPr>
        <w:tabs>
          <w:tab w:val="left" w:pos="4275"/>
        </w:tabs>
        <w:autoSpaceDE w:val="0"/>
        <w:autoSpaceDN w:val="0"/>
        <w:adjustRightInd w:val="0"/>
        <w:spacing w:line="560" w:lineRule="exact"/>
        <w:ind w:firstLine="643"/>
        <w:rPr>
          <w:rFonts w:ascii="楷体" w:eastAsia="楷体"/>
          <w:b/>
          <w:sz w:val="32"/>
        </w:rPr>
      </w:pPr>
      <w:r>
        <w:rPr>
          <w:rFonts w:ascii="楷体" w:eastAsia="楷体" w:hint="eastAsia"/>
          <w:b/>
          <w:sz w:val="32"/>
        </w:rPr>
        <w:t>(</w:t>
      </w:r>
      <w:proofErr w:type="gramStart"/>
      <w:r>
        <w:rPr>
          <w:rFonts w:ascii="楷体" w:eastAsia="楷体" w:hint="eastAsia"/>
          <w:b/>
          <w:sz w:val="32"/>
        </w:rPr>
        <w:t>一</w:t>
      </w:r>
      <w:proofErr w:type="gramEnd"/>
      <w:r>
        <w:rPr>
          <w:rFonts w:ascii="楷体" w:eastAsia="楷体" w:hint="eastAsia"/>
          <w:b/>
          <w:sz w:val="32"/>
        </w:rPr>
        <w:t>)</w:t>
      </w:r>
      <w:proofErr w:type="gramStart"/>
      <w:r>
        <w:rPr>
          <w:rFonts w:ascii="楷体" w:eastAsia="楷体" w:hint="eastAsia"/>
          <w:b/>
          <w:sz w:val="32"/>
        </w:rPr>
        <w:t>稀交所</w:t>
      </w:r>
      <w:proofErr w:type="gramEnd"/>
      <w:r>
        <w:rPr>
          <w:rFonts w:ascii="楷体" w:eastAsia="楷体" w:hint="eastAsia"/>
          <w:b/>
          <w:sz w:val="32"/>
        </w:rPr>
        <w:t>工作</w:t>
      </w:r>
    </w:p>
    <w:p w14:paraId="13A13705" w14:textId="77777777" w:rsidR="00B7661C" w:rsidRDefault="00AC1E27">
      <w:pPr>
        <w:autoSpaceDE w:val="0"/>
        <w:autoSpaceDN w:val="0"/>
        <w:adjustRightInd w:val="0"/>
        <w:spacing w:line="560" w:lineRule="exact"/>
        <w:ind w:firstLine="640"/>
        <w:rPr>
          <w:rFonts w:ascii="仿宋_GB2312" w:eastAsia="仿宋_GB2312"/>
          <w:sz w:val="32"/>
        </w:rPr>
      </w:pPr>
      <w:r>
        <w:rPr>
          <w:rFonts w:ascii="仿宋_GB2312" w:eastAsia="仿宋_GB2312" w:hint="eastAsia"/>
          <w:sz w:val="32"/>
        </w:rPr>
        <w:t>收到相关投诉，我中心及时</w:t>
      </w:r>
      <w:proofErr w:type="gramStart"/>
      <w:r>
        <w:rPr>
          <w:rFonts w:ascii="仿宋_GB2312" w:eastAsia="仿宋_GB2312" w:hint="eastAsia"/>
          <w:sz w:val="32"/>
        </w:rPr>
        <w:t>与稀交所</w:t>
      </w:r>
      <w:proofErr w:type="gramEnd"/>
      <w:r>
        <w:rPr>
          <w:rFonts w:ascii="仿宋_GB2312" w:eastAsia="仿宋_GB2312" w:hint="eastAsia"/>
          <w:sz w:val="32"/>
        </w:rPr>
        <w:t>对接,完成</w:t>
      </w:r>
      <w:proofErr w:type="gramStart"/>
      <w:r>
        <w:rPr>
          <w:rFonts w:ascii="仿宋_GB2312" w:eastAsia="仿宋_GB2312" w:hint="eastAsia"/>
          <w:sz w:val="32"/>
        </w:rPr>
        <w:t>对稀交所</w:t>
      </w:r>
      <w:proofErr w:type="gramEnd"/>
      <w:r>
        <w:rPr>
          <w:rFonts w:ascii="仿宋_GB2312" w:eastAsia="仿宋_GB2312" w:hint="eastAsia"/>
          <w:sz w:val="32"/>
        </w:rPr>
        <w:t>投诉人开户语音信息调取工作，按照信访答复要求，按时完成投诉信访答复，并按照市信访局和12345政府热线要求通过电话或邮寄文件等方式答复投诉人。</w:t>
      </w:r>
    </w:p>
    <w:p w14:paraId="2AC87437" w14:textId="77777777" w:rsidR="00B7661C" w:rsidRDefault="00AC1E27">
      <w:pPr>
        <w:tabs>
          <w:tab w:val="left" w:pos="4275"/>
        </w:tabs>
        <w:autoSpaceDE w:val="0"/>
        <w:autoSpaceDN w:val="0"/>
        <w:adjustRightInd w:val="0"/>
        <w:spacing w:line="560" w:lineRule="exact"/>
        <w:ind w:firstLine="643"/>
        <w:rPr>
          <w:rFonts w:ascii="楷体" w:eastAsia="楷体"/>
          <w:b/>
          <w:sz w:val="32"/>
        </w:rPr>
      </w:pPr>
      <w:r>
        <w:rPr>
          <w:rFonts w:ascii="楷体" w:eastAsia="楷体" w:hint="eastAsia"/>
          <w:b/>
          <w:sz w:val="32"/>
        </w:rPr>
        <w:lastRenderedPageBreak/>
        <w:t>(二)网站工作</w:t>
      </w:r>
    </w:p>
    <w:p w14:paraId="671F1AB3" w14:textId="77777777" w:rsidR="00B7661C" w:rsidRDefault="00AC1E27">
      <w:pPr>
        <w:autoSpaceDE w:val="0"/>
        <w:autoSpaceDN w:val="0"/>
        <w:adjustRightInd w:val="0"/>
        <w:spacing w:line="560" w:lineRule="exact"/>
        <w:ind w:firstLine="640"/>
        <w:rPr>
          <w:rFonts w:ascii="仿宋_GB2312" w:eastAsia="仿宋_GB2312"/>
          <w:sz w:val="32"/>
        </w:rPr>
      </w:pPr>
      <w:r>
        <w:rPr>
          <w:rFonts w:ascii="仿宋_GB2312" w:eastAsia="仿宋_GB2312" w:hint="eastAsia"/>
          <w:sz w:val="32"/>
        </w:rPr>
        <w:t>一是加强组织领导，落实主体责任。制定《包头市商务局门户网站信息管理制度》、《包头市商务局门户网站信息发布制度》、《包头市商务局门户网络安全管理制度》、《包头市商务局意识形态突发网络舆情处置应急预案》、《包头市商务局加强网络意识形态工作实施方案》、《包头市商务局网络安全应急预案》、《包头市商务局网络安全工作责任实施方案》、《包头市商务局意识形态阵地建设管理制度》、《包头市商务局政府信息主动公开制度》等9项制度，把网络安全和网络意识形态纳入党建工作责任制和目标管理，同业务工作</w:t>
      </w:r>
      <w:proofErr w:type="gramStart"/>
      <w:r>
        <w:rPr>
          <w:rFonts w:ascii="仿宋_GB2312" w:eastAsia="仿宋_GB2312" w:hint="eastAsia"/>
          <w:sz w:val="32"/>
        </w:rPr>
        <w:t>同安排</w:t>
      </w:r>
      <w:proofErr w:type="gramEnd"/>
      <w:r>
        <w:rPr>
          <w:rFonts w:ascii="仿宋_GB2312" w:eastAsia="仿宋_GB2312" w:hint="eastAsia"/>
          <w:sz w:val="32"/>
        </w:rPr>
        <w:t>同部署，并纳入年终考核内容。形成“一把手”负总责，相关科室密切配合的工作合力，进一步把网络意识形态工作责任细化、量化、具体化。二是加强理论学习，提升思想认识。积极参加局机关组织的各类学习培训，通过各种渠道学习网络安全和网络意识形态相关内容，切实抓好干部职工的思想教育和理论学习工作，并完成商务局政务公开清单制定。按照市委宣传部工作要求，通过软件正版化资产管理平台完成商务局软件正版化基础信息填报上传工作。三是注重舆论引导，维护网络意识形态安全。始终坚持做好网络舆论管理，掌控网络意识形态主导权。建立网评员队伍，并制定相关制度。通过局网站、公众号、“朋友圈”做好网络舆论引导工作并及时发布工作动态信息，提升舆论引导水平，维护网络意识形态安全。在</w:t>
      </w:r>
      <w:proofErr w:type="gramStart"/>
      <w:r>
        <w:rPr>
          <w:rFonts w:ascii="仿宋_GB2312" w:eastAsia="仿宋_GB2312" w:hint="eastAsia"/>
          <w:sz w:val="32"/>
        </w:rPr>
        <w:t>局官网设立</w:t>
      </w:r>
      <w:proofErr w:type="gramEnd"/>
      <w:r>
        <w:rPr>
          <w:rFonts w:ascii="仿宋_GB2312" w:eastAsia="仿宋_GB2312" w:hint="eastAsia"/>
          <w:sz w:val="32"/>
        </w:rPr>
        <w:t>意见建议箱，及时发布和搜集营商环境相关政策征求意见及反馈，并按要求及时公开执法信息年报，发布营商环境相关信息。积极开展网上正面宣传，按要求落实各项重大主题网络宣传任务，通过局网站正面宣传网络安全法、宪法宣传周、信访工作条例等活动及内容宣传工作。对社会关</w:t>
      </w:r>
      <w:r>
        <w:rPr>
          <w:rFonts w:ascii="仿宋_GB2312" w:eastAsia="仿宋_GB2312" w:hint="eastAsia"/>
          <w:sz w:val="32"/>
        </w:rPr>
        <w:lastRenderedPageBreak/>
        <w:t>切问题加强识别，发现可能出现的网络舆情及时化解，并形成网络舆情自查报告，报送</w:t>
      </w:r>
      <w:proofErr w:type="gramStart"/>
      <w:r>
        <w:rPr>
          <w:rFonts w:ascii="仿宋_GB2312" w:eastAsia="仿宋_GB2312" w:hint="eastAsia"/>
          <w:sz w:val="32"/>
        </w:rPr>
        <w:t>市委网信办</w:t>
      </w:r>
      <w:proofErr w:type="gramEnd"/>
      <w:r>
        <w:rPr>
          <w:rFonts w:ascii="仿宋_GB2312" w:eastAsia="仿宋_GB2312" w:hint="eastAsia"/>
          <w:sz w:val="32"/>
        </w:rPr>
        <w:t>。四是对不规范表述、敏感字、错别字、不当言论、被查出领导等内容进行筛选。</w:t>
      </w:r>
    </w:p>
    <w:p w14:paraId="2F503220" w14:textId="77777777" w:rsidR="00B7661C" w:rsidRDefault="00AC1E27">
      <w:pPr>
        <w:autoSpaceDE w:val="0"/>
        <w:autoSpaceDN w:val="0"/>
        <w:adjustRightInd w:val="0"/>
        <w:spacing w:line="560" w:lineRule="exact"/>
        <w:ind w:firstLine="640"/>
        <w:rPr>
          <w:rFonts w:ascii="仿宋_GB2312" w:eastAsia="仿宋_GB2312"/>
          <w:sz w:val="32"/>
        </w:rPr>
      </w:pPr>
      <w:r>
        <w:rPr>
          <w:rFonts w:ascii="楷体" w:eastAsia="楷体" w:hint="eastAsia"/>
          <w:b/>
          <w:sz w:val="32"/>
        </w:rPr>
        <w:t>（三）意识形态工作</w:t>
      </w:r>
    </w:p>
    <w:p w14:paraId="329FBB16" w14:textId="77777777" w:rsidR="00B7661C" w:rsidRDefault="00AC1E27">
      <w:pPr>
        <w:autoSpaceDE w:val="0"/>
        <w:autoSpaceDN w:val="0"/>
        <w:adjustRightInd w:val="0"/>
        <w:spacing w:line="560" w:lineRule="exact"/>
        <w:ind w:firstLine="640"/>
        <w:rPr>
          <w:rFonts w:ascii="仿宋_GB2312" w:eastAsia="仿宋_GB2312"/>
          <w:sz w:val="32"/>
        </w:rPr>
      </w:pPr>
      <w:r>
        <w:rPr>
          <w:rFonts w:ascii="仿宋_GB2312" w:eastAsia="仿宋_GB2312" w:hint="eastAsia"/>
          <w:sz w:val="32"/>
        </w:rPr>
        <w:t>一是明确工作职责，及时传达学习。将每位在岗干部的工作职责与意识形态工作紧密相连，切实做好意识形态工作的推动者和执行者。积极学习意识形态工作相关文件精神，用制度管事、用制度管人，实现意识形态的规范化和制度化。二是统一思想，加强党建工作。认真梳理本职工作，将每位干部的思想统一到工作当中，规范工作流程。推行“一岗双责”和“三会一课”制度，组织召开党员大会和支委会。三是加强舆论导向，强化网络意识形态。充分</w:t>
      </w:r>
      <w:proofErr w:type="gramStart"/>
      <w:r>
        <w:rPr>
          <w:rFonts w:ascii="仿宋_GB2312" w:eastAsia="仿宋_GB2312" w:hint="eastAsia"/>
          <w:sz w:val="32"/>
        </w:rPr>
        <w:t>利用局</w:t>
      </w:r>
      <w:proofErr w:type="gramEnd"/>
      <w:r>
        <w:rPr>
          <w:rFonts w:ascii="仿宋_GB2312" w:eastAsia="仿宋_GB2312" w:hint="eastAsia"/>
          <w:sz w:val="32"/>
        </w:rPr>
        <w:t>网站和公众</w:t>
      </w:r>
      <w:proofErr w:type="gramStart"/>
      <w:r>
        <w:rPr>
          <w:rFonts w:ascii="仿宋_GB2312" w:eastAsia="仿宋_GB2312" w:hint="eastAsia"/>
          <w:sz w:val="32"/>
        </w:rPr>
        <w:t>号深入</w:t>
      </w:r>
      <w:proofErr w:type="gramEnd"/>
      <w:r>
        <w:rPr>
          <w:rFonts w:ascii="仿宋_GB2312" w:eastAsia="仿宋_GB2312" w:hint="eastAsia"/>
          <w:sz w:val="32"/>
        </w:rPr>
        <w:t>解读相关工作政策并及时发布信息，完成网络意识形态工作报告，加强网络意识形态内容建设，提升意识形态内容的报送质量。</w:t>
      </w:r>
    </w:p>
    <w:p w14:paraId="34D8FD14" w14:textId="77777777" w:rsidR="00B7661C" w:rsidRDefault="00AC1E27">
      <w:pPr>
        <w:pStyle w:val="2"/>
        <w:keepNext w:val="0"/>
        <w:keepLines w:val="0"/>
        <w:widowControl/>
        <w:spacing w:before="299" w:after="299" w:line="240" w:lineRule="auto"/>
        <w:jc w:val="center"/>
        <w:rPr>
          <w:rFonts w:ascii="方正小标宋简体" w:eastAsia="方正小标宋简体" w:hAnsi="Times New Roman"/>
          <w:b w:val="0"/>
          <w:bCs w:val="0"/>
          <w:sz w:val="36"/>
          <w:szCs w:val="24"/>
        </w:rPr>
      </w:pPr>
      <w:r>
        <w:rPr>
          <w:rFonts w:ascii="方正小标宋简体" w:eastAsia="方正小标宋简体" w:hAnsi="Times New Roman" w:hint="eastAsia"/>
          <w:b w:val="0"/>
          <w:bCs w:val="0"/>
          <w:sz w:val="36"/>
          <w:szCs w:val="24"/>
        </w:rPr>
        <w:t>第二部分</w:t>
      </w:r>
      <w:r>
        <w:rPr>
          <w:rFonts w:ascii="方正小标宋简体" w:eastAsia="方正小标宋简体" w:hAnsi="Times New Roman" w:hint="eastAsia"/>
          <w:b w:val="0"/>
          <w:bCs w:val="0"/>
          <w:sz w:val="36"/>
          <w:szCs w:val="24"/>
        </w:rPr>
        <w:t> </w:t>
      </w:r>
      <w:r>
        <w:rPr>
          <w:rFonts w:ascii="方正小标宋简体" w:eastAsia="方正小标宋简体" w:hAnsi="Times New Roman" w:hint="eastAsia"/>
          <w:b w:val="0"/>
          <w:bCs w:val="0"/>
          <w:sz w:val="36"/>
          <w:szCs w:val="24"/>
        </w:rPr>
        <w:t xml:space="preserve"> 单位决算情况说明</w:t>
      </w:r>
    </w:p>
    <w:p w14:paraId="0371CA0D" w14:textId="77777777" w:rsidR="00B7661C" w:rsidRDefault="00AC1E27">
      <w:pPr>
        <w:widowControl/>
        <w:spacing w:before="240" w:after="240"/>
        <w:jc w:val="left"/>
        <w:rPr>
          <w:rFonts w:eastAsia="Times New Roman"/>
          <w:kern w:val="0"/>
          <w:sz w:val="24"/>
        </w:rPr>
      </w:pPr>
      <w:r>
        <w:rPr>
          <w:rFonts w:ascii="Calibri" w:eastAsia="Calibri" w:hAnsi="Calibri" w:cs="Calibri"/>
          <w:b/>
          <w:bCs/>
          <w:kern w:val="0"/>
          <w:sz w:val="27"/>
          <w:szCs w:val="27"/>
        </w:rPr>
        <w:t> </w:t>
      </w:r>
      <w:r>
        <w:rPr>
          <w:rFonts w:ascii="黑体" w:eastAsia="黑体" w:hAnsi="黑体" w:cs="黑体"/>
          <w:b/>
          <w:bCs/>
          <w:kern w:val="0"/>
          <w:sz w:val="27"/>
          <w:szCs w:val="27"/>
        </w:rPr>
        <w:t xml:space="preserve"> </w:t>
      </w:r>
      <w:r>
        <w:rPr>
          <w:rFonts w:ascii="Calibri" w:eastAsia="Calibri" w:hAnsi="Calibri" w:cs="Calibri"/>
          <w:b/>
          <w:bCs/>
          <w:kern w:val="0"/>
          <w:sz w:val="27"/>
          <w:szCs w:val="27"/>
        </w:rPr>
        <w:t> </w:t>
      </w:r>
      <w:r>
        <w:rPr>
          <w:rFonts w:ascii="Calibri" w:hAnsi="Calibri" w:cs="Calibri" w:hint="eastAsia"/>
          <w:b/>
          <w:bCs/>
          <w:kern w:val="0"/>
          <w:sz w:val="27"/>
          <w:szCs w:val="27"/>
        </w:rPr>
        <w:t xml:space="preserve">  </w:t>
      </w:r>
      <w:r>
        <w:rPr>
          <w:rFonts w:ascii="黑体" w:eastAsia="黑体" w:hint="eastAsia"/>
          <w:b/>
          <w:sz w:val="32"/>
        </w:rPr>
        <w:t>一、收入支出决算总体情况说明</w:t>
      </w:r>
    </w:p>
    <w:p w14:paraId="3F6109C6" w14:textId="77777777" w:rsidR="00B7661C" w:rsidRDefault="00AC1E27">
      <w:pPr>
        <w:widowControl/>
        <w:spacing w:before="240" w:after="240"/>
        <w:rPr>
          <w:rFonts w:ascii="仿宋_GB2312" w:eastAsia="仿宋_GB2312"/>
          <w:sz w:val="32"/>
        </w:rPr>
      </w:pPr>
      <w:r>
        <w:rPr>
          <w:rFonts w:ascii="fang_song_gb2312" w:eastAsia="fang_song_gb2312" w:hAnsi="fang_song_gb2312" w:cs="fang_song_gb2312"/>
          <w:kern w:val="0"/>
          <w:sz w:val="27"/>
          <w:szCs w:val="27"/>
        </w:rPr>
        <w:t xml:space="preserve">  </w:t>
      </w:r>
      <w:r>
        <w:rPr>
          <w:rFonts w:ascii="仿宋_GB2312" w:eastAsia="仿宋_GB2312" w:hint="eastAsia"/>
          <w:sz w:val="32"/>
        </w:rPr>
        <w:t> </w:t>
      </w:r>
      <w:r>
        <w:rPr>
          <w:rFonts w:ascii="仿宋_GB2312" w:eastAsia="仿宋_GB2312" w:hint="eastAsia"/>
          <w:sz w:val="32"/>
        </w:rPr>
        <w:t xml:space="preserve"> 包头市电子商务促进中心 2023年度收入、支出决算总计 212.11万元。与年初预算相比，收、支总计各增加3.62万元，增长1.74%，变动原因：本年在职人员职务、职级晋升，社保缴费基数调增，年终追加预算；与上年决算相比，收、支总计各减少19.25万元，减少8.32%。其中：</w:t>
      </w:r>
    </w:p>
    <w:p w14:paraId="08C0BB7D" w14:textId="77777777" w:rsidR="00B7661C" w:rsidRDefault="00AC1E27">
      <w:pPr>
        <w:widowControl/>
        <w:spacing w:before="240" w:after="240"/>
        <w:jc w:val="left"/>
        <w:rPr>
          <w:rFonts w:eastAsia="Times New Roman"/>
          <w:kern w:val="0"/>
          <w:sz w:val="24"/>
        </w:rPr>
      </w:pPr>
      <w:r>
        <w:rPr>
          <w:rFonts w:ascii="kai_ti_gb2312" w:eastAsia="kai_ti_gb2312" w:hAnsi="kai_ti_gb2312" w:cs="kai_ti_gb2312"/>
          <w:b/>
          <w:bCs/>
          <w:kern w:val="0"/>
          <w:sz w:val="27"/>
          <w:szCs w:val="27"/>
        </w:rPr>
        <w:t xml:space="preserve">    </w:t>
      </w:r>
      <w:r>
        <w:rPr>
          <w:rFonts w:ascii="楷体" w:eastAsia="楷体" w:hint="eastAsia"/>
          <w:b/>
          <w:sz w:val="32"/>
        </w:rPr>
        <w:t>（一）收入决算总计 212.11万元。包括：</w:t>
      </w:r>
    </w:p>
    <w:p w14:paraId="64E5539E" w14:textId="77777777" w:rsidR="00B7661C" w:rsidRDefault="00AC1E27">
      <w:pPr>
        <w:autoSpaceDE w:val="0"/>
        <w:autoSpaceDN w:val="0"/>
        <w:adjustRightInd w:val="0"/>
        <w:spacing w:line="560" w:lineRule="exact"/>
        <w:ind w:firstLineChars="200" w:firstLine="640"/>
        <w:rPr>
          <w:rFonts w:ascii="仿宋_GB2312" w:eastAsia="仿宋_GB2312"/>
          <w:sz w:val="32"/>
        </w:rPr>
      </w:pPr>
      <w:r>
        <w:rPr>
          <w:rFonts w:ascii="仿宋_GB2312" w:eastAsia="仿宋_GB2312" w:hint="eastAsia"/>
          <w:sz w:val="32"/>
        </w:rPr>
        <w:lastRenderedPageBreak/>
        <w:t>1.本年收入决算合计 194.97万元。与上年决算相比，减少19.36万元，减少9.03%，变动原因：本年在职人员退休1人，厉行勤俭节约，严格控制支出，导致收入相比上年减少。</w:t>
      </w:r>
    </w:p>
    <w:p w14:paraId="4CC5D0DB" w14:textId="77777777" w:rsidR="00B7661C" w:rsidRDefault="00AC1E27">
      <w:pPr>
        <w:autoSpaceDE w:val="0"/>
        <w:autoSpaceDN w:val="0"/>
        <w:adjustRightInd w:val="0"/>
        <w:spacing w:line="560" w:lineRule="exact"/>
        <w:ind w:firstLine="640"/>
        <w:rPr>
          <w:rFonts w:ascii="仿宋_GB2312" w:eastAsia="仿宋_GB2312"/>
          <w:sz w:val="32"/>
        </w:rPr>
      </w:pPr>
      <w:r>
        <w:rPr>
          <w:rFonts w:ascii="仿宋_GB2312" w:eastAsia="仿宋_GB2312" w:hint="eastAsia"/>
          <w:sz w:val="32"/>
        </w:rPr>
        <w:t>2.使用非财政拨款结余和专用结余 0.00万元。与上年决算相比，增加0.00万元，增长 0.00%，变动原因：不存在此项内容。</w:t>
      </w:r>
    </w:p>
    <w:p w14:paraId="5BEA3015" w14:textId="77777777" w:rsidR="00B7661C" w:rsidRDefault="00AC1E27">
      <w:pPr>
        <w:autoSpaceDE w:val="0"/>
        <w:autoSpaceDN w:val="0"/>
        <w:adjustRightInd w:val="0"/>
        <w:spacing w:line="560" w:lineRule="exact"/>
        <w:ind w:firstLine="640"/>
        <w:rPr>
          <w:rFonts w:ascii="仿宋_GB2312" w:eastAsia="仿宋_GB2312"/>
          <w:sz w:val="32"/>
        </w:rPr>
      </w:pPr>
      <w:r>
        <w:rPr>
          <w:rFonts w:ascii="仿宋_GB2312" w:eastAsia="仿宋_GB2312" w:hint="eastAsia"/>
          <w:sz w:val="32"/>
        </w:rPr>
        <w:t>3.年初结转和结余 17.14万元。与上年决算相比，增加 0.11万元，增长0.63%，变动原因：本年在职人员职务、职级晋升，社保缴费基数调增，收入增加。</w:t>
      </w:r>
    </w:p>
    <w:p w14:paraId="42437D41" w14:textId="77777777" w:rsidR="00B7661C" w:rsidRDefault="00AC1E27">
      <w:pPr>
        <w:widowControl/>
        <w:spacing w:before="240" w:after="240"/>
        <w:jc w:val="left"/>
        <w:rPr>
          <w:rFonts w:eastAsia="Times New Roman"/>
          <w:kern w:val="0"/>
          <w:sz w:val="24"/>
        </w:rPr>
      </w:pPr>
      <w:r>
        <w:rPr>
          <w:rFonts w:ascii="kai_ti_gb2312" w:eastAsia="kai_ti_gb2312" w:hAnsi="kai_ti_gb2312" w:cs="kai_ti_gb2312"/>
          <w:b/>
          <w:bCs/>
          <w:kern w:val="0"/>
          <w:sz w:val="27"/>
          <w:szCs w:val="27"/>
        </w:rPr>
        <w:t xml:space="preserve">    </w:t>
      </w:r>
      <w:r>
        <w:rPr>
          <w:rFonts w:ascii="楷体" w:eastAsia="楷体" w:hint="eastAsia"/>
          <w:b/>
          <w:sz w:val="32"/>
        </w:rPr>
        <w:t>（二）支出决算总计 212.11万元。包括：</w:t>
      </w:r>
    </w:p>
    <w:p w14:paraId="32290879" w14:textId="77777777" w:rsidR="00B7661C" w:rsidRDefault="00AC1E27">
      <w:pPr>
        <w:autoSpaceDE w:val="0"/>
        <w:autoSpaceDN w:val="0"/>
        <w:adjustRightInd w:val="0"/>
        <w:spacing w:line="560" w:lineRule="exact"/>
        <w:ind w:firstLine="640"/>
        <w:rPr>
          <w:rFonts w:ascii="仿宋_GB2312" w:eastAsia="仿宋_GB2312"/>
          <w:sz w:val="32"/>
        </w:rPr>
      </w:pPr>
      <w:r>
        <w:rPr>
          <w:rFonts w:ascii="仿宋_GB2312" w:eastAsia="仿宋_GB2312" w:hint="eastAsia"/>
          <w:sz w:val="32"/>
        </w:rPr>
        <w:t>1.本年支出决算合计 194.95万元。与上年决算相比，减少19.15万元，减少 8.95%，变动原因：本年在职人员退休1人，厉行勤俭节约，严格控制支出，导致支出相比上年减少。</w:t>
      </w:r>
    </w:p>
    <w:p w14:paraId="6B36C5F9" w14:textId="77777777" w:rsidR="00B7661C" w:rsidRDefault="00AC1E27">
      <w:pPr>
        <w:autoSpaceDE w:val="0"/>
        <w:autoSpaceDN w:val="0"/>
        <w:adjustRightInd w:val="0"/>
        <w:spacing w:line="560" w:lineRule="exact"/>
        <w:ind w:firstLine="640"/>
        <w:rPr>
          <w:rFonts w:ascii="仿宋_GB2312" w:eastAsia="仿宋_GB2312"/>
          <w:sz w:val="32"/>
        </w:rPr>
      </w:pPr>
      <w:r>
        <w:rPr>
          <w:rFonts w:ascii="仿宋_GB2312" w:eastAsia="仿宋_GB2312" w:hint="eastAsia"/>
          <w:sz w:val="32"/>
        </w:rPr>
        <w:t>2.结余分配 0.02万元。结余分配事项：其他收入。与上年决算相比，减少0.10万元，减少84.63%，变动原因：本年增加结转结余支出进度，账户资金减少，银行存款活期利息减少。</w:t>
      </w:r>
    </w:p>
    <w:p w14:paraId="2F55CE41" w14:textId="77777777" w:rsidR="00B7661C" w:rsidRDefault="00AC1E27">
      <w:pPr>
        <w:autoSpaceDE w:val="0"/>
        <w:autoSpaceDN w:val="0"/>
        <w:adjustRightInd w:val="0"/>
        <w:spacing w:line="560" w:lineRule="exact"/>
        <w:ind w:firstLine="640"/>
        <w:rPr>
          <w:rFonts w:ascii="仿宋_GB2312" w:eastAsia="仿宋_GB2312"/>
          <w:sz w:val="32"/>
        </w:rPr>
      </w:pPr>
      <w:r>
        <w:rPr>
          <w:rFonts w:ascii="仿宋_GB2312" w:eastAsia="仿宋_GB2312" w:hint="eastAsia"/>
          <w:sz w:val="32"/>
        </w:rPr>
        <w:t>3.年末结转和结余 17.14万元。结转和结余事项：一般公共预算日常公用经费及人员经费结转结余。与上年决算相比，增加 0.00万元，增长0.00%，变动原因：本年未使用以前年度结转结余资金，年末结转和结余与上年相同。</w:t>
      </w:r>
    </w:p>
    <w:p w14:paraId="09D66391" w14:textId="77777777" w:rsidR="00B7661C" w:rsidRDefault="00AC1E27">
      <w:pPr>
        <w:widowControl/>
        <w:spacing w:before="240" w:after="240"/>
        <w:jc w:val="left"/>
        <w:rPr>
          <w:rFonts w:eastAsia="Times New Roman"/>
          <w:kern w:val="0"/>
          <w:sz w:val="24"/>
        </w:rPr>
      </w:pPr>
      <w:r>
        <w:rPr>
          <w:rFonts w:ascii="Calibri" w:eastAsia="Calibri" w:hAnsi="Calibri" w:cs="Calibri"/>
          <w:b/>
          <w:bCs/>
          <w:kern w:val="0"/>
          <w:sz w:val="27"/>
          <w:szCs w:val="27"/>
        </w:rPr>
        <w:t> </w:t>
      </w:r>
      <w:r>
        <w:rPr>
          <w:rFonts w:ascii="黑体" w:eastAsia="黑体" w:hAnsi="黑体" w:cs="黑体"/>
          <w:b/>
          <w:bCs/>
          <w:kern w:val="0"/>
          <w:sz w:val="27"/>
          <w:szCs w:val="27"/>
        </w:rPr>
        <w:t xml:space="preserve"> </w:t>
      </w:r>
      <w:r>
        <w:rPr>
          <w:rFonts w:ascii="Calibri" w:eastAsia="Calibri" w:hAnsi="Calibri" w:cs="Calibri"/>
          <w:b/>
          <w:bCs/>
          <w:kern w:val="0"/>
          <w:sz w:val="27"/>
          <w:szCs w:val="27"/>
        </w:rPr>
        <w:t> </w:t>
      </w:r>
      <w:r>
        <w:rPr>
          <w:rFonts w:ascii="黑体" w:eastAsia="黑体" w:hAnsi="黑体" w:cs="黑体"/>
          <w:b/>
          <w:bCs/>
          <w:kern w:val="0"/>
          <w:sz w:val="27"/>
          <w:szCs w:val="27"/>
        </w:rPr>
        <w:t xml:space="preserve"> </w:t>
      </w:r>
      <w:r>
        <w:rPr>
          <w:rFonts w:ascii="黑体" w:eastAsia="黑体" w:hAnsi="黑体" w:cs="黑体" w:hint="eastAsia"/>
          <w:b/>
          <w:bCs/>
          <w:kern w:val="0"/>
          <w:sz w:val="27"/>
          <w:szCs w:val="27"/>
        </w:rPr>
        <w:t xml:space="preserve">  </w:t>
      </w:r>
      <w:r>
        <w:rPr>
          <w:rFonts w:ascii="黑体" w:eastAsia="黑体" w:hint="eastAsia"/>
          <w:b/>
          <w:sz w:val="32"/>
        </w:rPr>
        <w:t>二、收入决算情况说明</w:t>
      </w:r>
    </w:p>
    <w:p w14:paraId="00B65DE3" w14:textId="77777777" w:rsidR="00B7661C" w:rsidRDefault="00AC1E27">
      <w:pPr>
        <w:autoSpaceDE w:val="0"/>
        <w:autoSpaceDN w:val="0"/>
        <w:adjustRightInd w:val="0"/>
        <w:spacing w:line="560" w:lineRule="exact"/>
        <w:ind w:firstLine="640"/>
        <w:rPr>
          <w:rFonts w:ascii="仿宋_GB2312" w:eastAsia="仿宋_GB2312"/>
          <w:sz w:val="32"/>
        </w:rPr>
      </w:pPr>
      <w:r>
        <w:rPr>
          <w:rFonts w:ascii="仿宋_GB2312" w:eastAsia="仿宋_GB2312" w:hint="eastAsia"/>
          <w:sz w:val="32"/>
        </w:rPr>
        <w:t>包头市电子商务促进中心 2023年度本年收入决算合计 194.97万元，其中：</w:t>
      </w:r>
    </w:p>
    <w:p w14:paraId="6F3C8762" w14:textId="77777777" w:rsidR="00B7661C" w:rsidRDefault="00AC1E27">
      <w:pPr>
        <w:autoSpaceDE w:val="0"/>
        <w:autoSpaceDN w:val="0"/>
        <w:adjustRightInd w:val="0"/>
        <w:spacing w:line="560" w:lineRule="exact"/>
        <w:ind w:firstLineChars="200" w:firstLine="640"/>
        <w:rPr>
          <w:rFonts w:ascii="仿宋_GB2312" w:eastAsia="仿宋_GB2312"/>
          <w:sz w:val="32"/>
        </w:rPr>
      </w:pPr>
      <w:r>
        <w:rPr>
          <w:rFonts w:ascii="仿宋_GB2312" w:eastAsia="仿宋_GB2312" w:hint="eastAsia"/>
          <w:sz w:val="32"/>
        </w:rPr>
        <w:lastRenderedPageBreak/>
        <w:t>本年一般公共预算财政拨款收入 194.95万元，占 99.99%；</w:t>
      </w:r>
    </w:p>
    <w:p w14:paraId="0022A41B" w14:textId="77777777" w:rsidR="00B7661C" w:rsidRDefault="00AC1E27">
      <w:pPr>
        <w:autoSpaceDE w:val="0"/>
        <w:autoSpaceDN w:val="0"/>
        <w:adjustRightInd w:val="0"/>
        <w:spacing w:line="560" w:lineRule="exact"/>
        <w:ind w:firstLine="640"/>
        <w:rPr>
          <w:rFonts w:ascii="仿宋_GB2312" w:eastAsia="仿宋_GB2312"/>
          <w:sz w:val="32"/>
        </w:rPr>
      </w:pPr>
      <w:r>
        <w:rPr>
          <w:rFonts w:ascii="仿宋_GB2312" w:eastAsia="仿宋_GB2312" w:hint="eastAsia"/>
          <w:sz w:val="32"/>
        </w:rPr>
        <w:t>本年政府性基金预算财政拨款收入 0.00万元，占 0.00%；</w:t>
      </w:r>
    </w:p>
    <w:p w14:paraId="4BFE553B" w14:textId="77777777" w:rsidR="00B7661C" w:rsidRDefault="00AC1E27">
      <w:pPr>
        <w:autoSpaceDE w:val="0"/>
        <w:autoSpaceDN w:val="0"/>
        <w:adjustRightInd w:val="0"/>
        <w:spacing w:line="560" w:lineRule="exact"/>
        <w:ind w:firstLineChars="200" w:firstLine="640"/>
        <w:rPr>
          <w:rFonts w:ascii="仿宋_GB2312" w:eastAsia="仿宋_GB2312"/>
          <w:sz w:val="32"/>
        </w:rPr>
      </w:pPr>
      <w:r>
        <w:rPr>
          <w:rFonts w:ascii="仿宋_GB2312" w:eastAsia="仿宋_GB2312" w:hint="eastAsia"/>
          <w:sz w:val="32"/>
        </w:rPr>
        <w:t>本年国有资本经营预算财政拨款收入 0.00万元，占 0.00%；</w:t>
      </w:r>
    </w:p>
    <w:p w14:paraId="7718A5D4" w14:textId="77777777" w:rsidR="00B7661C" w:rsidRDefault="00AC1E27">
      <w:pPr>
        <w:autoSpaceDE w:val="0"/>
        <w:autoSpaceDN w:val="0"/>
        <w:adjustRightInd w:val="0"/>
        <w:spacing w:line="560" w:lineRule="exact"/>
        <w:ind w:firstLine="640"/>
        <w:rPr>
          <w:rFonts w:ascii="仿宋_GB2312" w:eastAsia="仿宋_GB2312"/>
          <w:sz w:val="32"/>
        </w:rPr>
      </w:pPr>
      <w:r>
        <w:rPr>
          <w:rFonts w:ascii="仿宋_GB2312" w:eastAsia="仿宋_GB2312" w:hint="eastAsia"/>
          <w:sz w:val="32"/>
        </w:rPr>
        <w:t>本年上级补助收入 0.00万元，占 0.00%；</w:t>
      </w:r>
    </w:p>
    <w:p w14:paraId="079EA5BD" w14:textId="77777777" w:rsidR="00B7661C" w:rsidRDefault="00AC1E27">
      <w:pPr>
        <w:autoSpaceDE w:val="0"/>
        <w:autoSpaceDN w:val="0"/>
        <w:adjustRightInd w:val="0"/>
        <w:spacing w:line="560" w:lineRule="exact"/>
        <w:ind w:firstLine="640"/>
        <w:rPr>
          <w:rFonts w:ascii="仿宋_GB2312" w:eastAsia="仿宋_GB2312"/>
          <w:sz w:val="32"/>
        </w:rPr>
      </w:pPr>
      <w:r>
        <w:rPr>
          <w:rFonts w:ascii="仿宋_GB2312" w:eastAsia="仿宋_GB2312" w:hint="eastAsia"/>
          <w:sz w:val="32"/>
        </w:rPr>
        <w:t>本年事业收入 0.00万元，占 0.00%；</w:t>
      </w:r>
    </w:p>
    <w:p w14:paraId="6C48F08A" w14:textId="77777777" w:rsidR="00B7661C" w:rsidRDefault="00AC1E27">
      <w:pPr>
        <w:autoSpaceDE w:val="0"/>
        <w:autoSpaceDN w:val="0"/>
        <w:adjustRightInd w:val="0"/>
        <w:spacing w:line="560" w:lineRule="exact"/>
        <w:ind w:firstLineChars="200" w:firstLine="640"/>
        <w:rPr>
          <w:rFonts w:ascii="仿宋_GB2312" w:eastAsia="仿宋_GB2312"/>
          <w:sz w:val="32"/>
        </w:rPr>
      </w:pPr>
      <w:r>
        <w:rPr>
          <w:rFonts w:ascii="仿宋_GB2312" w:eastAsia="仿宋_GB2312" w:hint="eastAsia"/>
          <w:sz w:val="32"/>
        </w:rPr>
        <w:t>本年经营收入 0.00万元，占 0.00%；</w:t>
      </w:r>
    </w:p>
    <w:p w14:paraId="4540D6C4" w14:textId="77777777" w:rsidR="00B7661C" w:rsidRDefault="00AC1E27">
      <w:pPr>
        <w:autoSpaceDE w:val="0"/>
        <w:autoSpaceDN w:val="0"/>
        <w:adjustRightInd w:val="0"/>
        <w:spacing w:line="560" w:lineRule="exact"/>
        <w:ind w:firstLine="640"/>
        <w:rPr>
          <w:rFonts w:ascii="仿宋_GB2312" w:eastAsia="仿宋_GB2312"/>
          <w:sz w:val="32"/>
        </w:rPr>
      </w:pPr>
      <w:r>
        <w:rPr>
          <w:rFonts w:ascii="仿宋_GB2312" w:eastAsia="仿宋_GB2312" w:hint="eastAsia"/>
          <w:sz w:val="32"/>
        </w:rPr>
        <w:t>本年附属单位上缴收入 0.00万元，占 0.00%；</w:t>
      </w:r>
    </w:p>
    <w:p w14:paraId="637C0820" w14:textId="77777777" w:rsidR="00B7661C" w:rsidRDefault="00AC1E27">
      <w:pPr>
        <w:autoSpaceDE w:val="0"/>
        <w:autoSpaceDN w:val="0"/>
        <w:adjustRightInd w:val="0"/>
        <w:spacing w:line="560" w:lineRule="exact"/>
        <w:ind w:firstLine="640"/>
        <w:rPr>
          <w:rFonts w:ascii="仿宋_GB2312" w:eastAsia="仿宋_GB2312"/>
          <w:sz w:val="32"/>
        </w:rPr>
      </w:pPr>
      <w:r>
        <w:rPr>
          <w:rFonts w:ascii="仿宋_GB2312" w:eastAsia="仿宋_GB2312" w:hint="eastAsia"/>
          <w:sz w:val="32"/>
        </w:rPr>
        <w:t>本年其他收入 0.02万元，占 0.01%。</w:t>
      </w:r>
    </w:p>
    <w:p w14:paraId="2850952F" w14:textId="77777777" w:rsidR="00B7661C" w:rsidRDefault="00B7661C">
      <w:pPr>
        <w:widowControl/>
        <w:spacing w:before="240" w:after="240"/>
        <w:rPr>
          <w:rFonts w:eastAsia="Times New Roman"/>
          <w:kern w:val="0"/>
          <w:sz w:val="24"/>
        </w:rPr>
      </w:pPr>
    </w:p>
    <w:p w14:paraId="3677F295" w14:textId="77777777" w:rsidR="00B7661C" w:rsidRDefault="00AC1E27">
      <w:pPr>
        <w:pStyle w:val="20"/>
        <w:ind w:leftChars="0" w:left="0" w:firstLine="0"/>
        <w:jc w:val="both"/>
        <w:rPr>
          <w:rFonts w:ascii="Times New Roman" w:eastAsia="Times New Roman" w:hAnsi="Times New Roman" w:hint="default"/>
        </w:rPr>
      </w:pPr>
      <w:r>
        <w:t xml:space="preserve">         </w:t>
      </w:r>
      <w:r>
        <w:rPr>
          <w:noProof/>
        </w:rPr>
        <w:drawing>
          <wp:inline distT="0" distB="0" distL="114300" distR="114300" wp14:anchorId="3AB1084F" wp14:editId="349896D1">
            <wp:extent cx="4834890" cy="2933700"/>
            <wp:effectExtent l="5080" t="4445" r="17780" b="14605"/>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2A2150C" w14:textId="77777777" w:rsidR="00B7661C" w:rsidRDefault="00AC1E27">
      <w:pPr>
        <w:autoSpaceDE w:val="0"/>
        <w:autoSpaceDN w:val="0"/>
        <w:adjustRightInd w:val="0"/>
        <w:spacing w:line="560" w:lineRule="exact"/>
        <w:ind w:firstLine="640"/>
        <w:jc w:val="center"/>
        <w:rPr>
          <w:rFonts w:ascii="仿宋_GB2312" w:eastAsia="仿宋_GB2312"/>
          <w:sz w:val="32"/>
        </w:rPr>
      </w:pPr>
      <w:r>
        <w:rPr>
          <w:rFonts w:ascii="仿宋_GB2312" w:eastAsia="仿宋_GB2312" w:hint="eastAsia"/>
          <w:sz w:val="32"/>
        </w:rPr>
        <w:t>图1.收入决算图</w:t>
      </w:r>
    </w:p>
    <w:p w14:paraId="0F0E3BD0" w14:textId="77777777" w:rsidR="00B7661C" w:rsidRDefault="00AC1E27">
      <w:pPr>
        <w:autoSpaceDE w:val="0"/>
        <w:autoSpaceDN w:val="0"/>
        <w:adjustRightInd w:val="0"/>
        <w:spacing w:line="600" w:lineRule="exact"/>
        <w:ind w:left="424" w:firstLine="212"/>
        <w:rPr>
          <w:rFonts w:ascii="黑体" w:eastAsia="黑体"/>
          <w:b/>
          <w:sz w:val="32"/>
        </w:rPr>
      </w:pPr>
      <w:r>
        <w:rPr>
          <w:rFonts w:ascii="黑体" w:eastAsia="黑体" w:hint="eastAsia"/>
          <w:b/>
          <w:sz w:val="32"/>
        </w:rPr>
        <w:t>三、支出决算情况说明</w:t>
      </w:r>
    </w:p>
    <w:p w14:paraId="301954DC" w14:textId="77777777" w:rsidR="00B7661C" w:rsidRDefault="00AC1E27">
      <w:pPr>
        <w:autoSpaceDE w:val="0"/>
        <w:autoSpaceDN w:val="0"/>
        <w:adjustRightInd w:val="0"/>
        <w:spacing w:line="560" w:lineRule="exact"/>
        <w:ind w:firstLine="640"/>
        <w:rPr>
          <w:rFonts w:ascii="仿宋_GB2312" w:eastAsia="仿宋_GB2312"/>
          <w:sz w:val="32"/>
        </w:rPr>
      </w:pPr>
      <w:r>
        <w:rPr>
          <w:rFonts w:ascii="仿宋_GB2312" w:eastAsia="仿宋_GB2312" w:hint="eastAsia"/>
          <w:sz w:val="32"/>
        </w:rPr>
        <w:t>包头市电子商务促进中心 2023年度本年支出决算合计 194.95万元，其中：</w:t>
      </w:r>
    </w:p>
    <w:p w14:paraId="56D93B89" w14:textId="77777777" w:rsidR="00B7661C" w:rsidRDefault="00AC1E27">
      <w:pPr>
        <w:autoSpaceDE w:val="0"/>
        <w:autoSpaceDN w:val="0"/>
        <w:adjustRightInd w:val="0"/>
        <w:spacing w:line="560" w:lineRule="exact"/>
        <w:ind w:firstLine="640"/>
        <w:rPr>
          <w:rFonts w:ascii="仿宋_GB2312" w:eastAsia="仿宋_GB2312"/>
          <w:sz w:val="32"/>
        </w:rPr>
      </w:pPr>
      <w:r>
        <w:rPr>
          <w:rFonts w:ascii="仿宋_GB2312" w:eastAsia="仿宋_GB2312" w:hint="eastAsia"/>
          <w:sz w:val="32"/>
        </w:rPr>
        <w:t>本年基本支出 194.95万元，占 100.00%；</w:t>
      </w:r>
    </w:p>
    <w:p w14:paraId="66CDD8C6" w14:textId="77777777" w:rsidR="00B7661C" w:rsidRDefault="00AC1E27">
      <w:pPr>
        <w:autoSpaceDE w:val="0"/>
        <w:autoSpaceDN w:val="0"/>
        <w:adjustRightInd w:val="0"/>
        <w:spacing w:line="560" w:lineRule="exact"/>
        <w:ind w:firstLineChars="200" w:firstLine="640"/>
        <w:rPr>
          <w:rFonts w:ascii="仿宋_GB2312" w:eastAsia="仿宋_GB2312"/>
          <w:sz w:val="32"/>
        </w:rPr>
      </w:pPr>
      <w:r>
        <w:rPr>
          <w:rFonts w:ascii="仿宋_GB2312" w:eastAsia="仿宋_GB2312" w:hint="eastAsia"/>
          <w:sz w:val="32"/>
        </w:rPr>
        <w:t>本年项目支出 0.00万元，占 0.00%；</w:t>
      </w:r>
    </w:p>
    <w:p w14:paraId="02021440" w14:textId="77777777" w:rsidR="00B7661C" w:rsidRDefault="00AC1E27">
      <w:pPr>
        <w:autoSpaceDE w:val="0"/>
        <w:autoSpaceDN w:val="0"/>
        <w:adjustRightInd w:val="0"/>
        <w:spacing w:line="560" w:lineRule="exact"/>
        <w:ind w:firstLine="640"/>
        <w:rPr>
          <w:rFonts w:ascii="仿宋_GB2312" w:eastAsia="仿宋_GB2312"/>
          <w:sz w:val="32"/>
        </w:rPr>
      </w:pPr>
      <w:r>
        <w:rPr>
          <w:rFonts w:ascii="仿宋_GB2312" w:eastAsia="仿宋_GB2312" w:hint="eastAsia"/>
          <w:sz w:val="32"/>
        </w:rPr>
        <w:lastRenderedPageBreak/>
        <w:t> </w:t>
      </w:r>
      <w:r>
        <w:rPr>
          <w:rFonts w:ascii="仿宋_GB2312" w:eastAsia="仿宋_GB2312" w:hint="eastAsia"/>
          <w:sz w:val="32"/>
        </w:rPr>
        <w:t xml:space="preserve"> </w:t>
      </w:r>
      <w:r>
        <w:rPr>
          <w:rFonts w:ascii="仿宋_GB2312" w:eastAsia="仿宋_GB2312" w:hint="eastAsia"/>
          <w:sz w:val="32"/>
        </w:rPr>
        <w:t> </w:t>
      </w:r>
      <w:r>
        <w:rPr>
          <w:rFonts w:ascii="仿宋_GB2312" w:eastAsia="仿宋_GB2312" w:hint="eastAsia"/>
          <w:sz w:val="32"/>
        </w:rPr>
        <w:t>本年上缴上级支出 0.00万元，占 0.00%；</w:t>
      </w:r>
    </w:p>
    <w:p w14:paraId="24CF9971" w14:textId="77777777" w:rsidR="00B7661C" w:rsidRDefault="00AC1E27">
      <w:pPr>
        <w:autoSpaceDE w:val="0"/>
        <w:autoSpaceDN w:val="0"/>
        <w:adjustRightInd w:val="0"/>
        <w:spacing w:line="560" w:lineRule="exact"/>
        <w:ind w:firstLine="640"/>
        <w:rPr>
          <w:rFonts w:ascii="仿宋_GB2312" w:eastAsia="仿宋_GB2312"/>
          <w:sz w:val="32"/>
        </w:rPr>
      </w:pPr>
      <w:r>
        <w:rPr>
          <w:rFonts w:ascii="仿宋_GB2312" w:eastAsia="仿宋_GB2312" w:hint="eastAsia"/>
          <w:sz w:val="32"/>
        </w:rPr>
        <w:t> </w:t>
      </w:r>
      <w:r>
        <w:rPr>
          <w:rFonts w:ascii="仿宋_GB2312" w:eastAsia="仿宋_GB2312" w:hint="eastAsia"/>
          <w:sz w:val="32"/>
        </w:rPr>
        <w:t xml:space="preserve"> </w:t>
      </w:r>
      <w:r>
        <w:rPr>
          <w:rFonts w:ascii="仿宋_GB2312" w:eastAsia="仿宋_GB2312" w:hint="eastAsia"/>
          <w:sz w:val="32"/>
        </w:rPr>
        <w:t> </w:t>
      </w:r>
      <w:r>
        <w:rPr>
          <w:rFonts w:ascii="仿宋_GB2312" w:eastAsia="仿宋_GB2312" w:hint="eastAsia"/>
          <w:sz w:val="32"/>
        </w:rPr>
        <w:t>本年经营支出 0.00万元，占 0.00%；</w:t>
      </w:r>
    </w:p>
    <w:p w14:paraId="4B3E54C0" w14:textId="77777777" w:rsidR="00B7661C" w:rsidRDefault="00AC1E27">
      <w:pPr>
        <w:autoSpaceDE w:val="0"/>
        <w:autoSpaceDN w:val="0"/>
        <w:adjustRightInd w:val="0"/>
        <w:spacing w:line="560" w:lineRule="exact"/>
        <w:ind w:firstLine="640"/>
        <w:rPr>
          <w:rFonts w:ascii="仿宋_GB2312" w:eastAsia="仿宋_GB2312"/>
          <w:sz w:val="32"/>
        </w:rPr>
      </w:pPr>
      <w:r>
        <w:rPr>
          <w:rFonts w:ascii="仿宋_GB2312" w:eastAsia="仿宋_GB2312" w:hint="eastAsia"/>
          <w:sz w:val="32"/>
        </w:rPr>
        <w:t> </w:t>
      </w:r>
      <w:r>
        <w:rPr>
          <w:rFonts w:ascii="仿宋_GB2312" w:eastAsia="仿宋_GB2312" w:hint="eastAsia"/>
          <w:sz w:val="32"/>
        </w:rPr>
        <w:t xml:space="preserve"> </w:t>
      </w:r>
      <w:r>
        <w:rPr>
          <w:rFonts w:ascii="仿宋_GB2312" w:eastAsia="仿宋_GB2312" w:hint="eastAsia"/>
          <w:sz w:val="32"/>
        </w:rPr>
        <w:t> </w:t>
      </w:r>
      <w:r>
        <w:rPr>
          <w:rFonts w:ascii="仿宋_GB2312" w:eastAsia="仿宋_GB2312" w:hint="eastAsia"/>
          <w:sz w:val="32"/>
        </w:rPr>
        <w:t>本年对附属单位补助支出 0.00万元，占 0.00%。</w:t>
      </w:r>
    </w:p>
    <w:p w14:paraId="31462C48" w14:textId="77777777" w:rsidR="00B7661C" w:rsidRDefault="00AC1E27">
      <w:pPr>
        <w:widowControl/>
        <w:spacing w:before="240" w:after="240"/>
        <w:jc w:val="center"/>
      </w:pPr>
      <w:r>
        <w:rPr>
          <w:noProof/>
        </w:rPr>
        <w:drawing>
          <wp:inline distT="0" distB="0" distL="114300" distR="114300" wp14:anchorId="5CDE9AC7" wp14:editId="62E4AFBD">
            <wp:extent cx="4826000" cy="2743200"/>
            <wp:effectExtent l="4445" t="4445" r="8255" b="1460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C1D9A86" w14:textId="77777777" w:rsidR="00B7661C" w:rsidRDefault="00AC1E27">
      <w:pPr>
        <w:autoSpaceDE w:val="0"/>
        <w:autoSpaceDN w:val="0"/>
        <w:adjustRightInd w:val="0"/>
        <w:spacing w:line="560" w:lineRule="exact"/>
        <w:ind w:firstLine="640"/>
        <w:jc w:val="center"/>
        <w:rPr>
          <w:rFonts w:eastAsia="Times New Roman"/>
          <w:kern w:val="0"/>
          <w:sz w:val="24"/>
        </w:rPr>
      </w:pPr>
      <w:r>
        <w:rPr>
          <w:rFonts w:ascii="仿宋_GB2312" w:eastAsia="仿宋_GB2312" w:hint="eastAsia"/>
          <w:sz w:val="32"/>
        </w:rPr>
        <w:t>图2.支出决算图</w:t>
      </w:r>
    </w:p>
    <w:p w14:paraId="46BDF4C0" w14:textId="77777777" w:rsidR="00B7661C" w:rsidRDefault="00AC1E27">
      <w:pPr>
        <w:autoSpaceDE w:val="0"/>
        <w:autoSpaceDN w:val="0"/>
        <w:adjustRightInd w:val="0"/>
        <w:spacing w:line="600" w:lineRule="exact"/>
        <w:ind w:firstLineChars="200" w:firstLine="643"/>
        <w:rPr>
          <w:rFonts w:ascii="黑体" w:eastAsia="黑体"/>
          <w:b/>
          <w:sz w:val="32"/>
        </w:rPr>
      </w:pPr>
      <w:r>
        <w:rPr>
          <w:rFonts w:ascii="黑体" w:eastAsia="黑体" w:hint="eastAsia"/>
          <w:b/>
          <w:sz w:val="32"/>
        </w:rPr>
        <w:t>四、财政拨款收入支出决算总体情况说明</w:t>
      </w:r>
    </w:p>
    <w:p w14:paraId="00633D26" w14:textId="77777777" w:rsidR="00B7661C" w:rsidRDefault="00AC1E27">
      <w:pPr>
        <w:widowControl/>
        <w:spacing w:before="240" w:after="240"/>
        <w:rPr>
          <w:rFonts w:ascii="仿宋_GB2312" w:eastAsia="仿宋_GB2312"/>
          <w:sz w:val="32"/>
        </w:rPr>
      </w:pPr>
      <w:r>
        <w:rPr>
          <w:rFonts w:ascii="fang_song_gb2312" w:eastAsia="fang_song_gb2312" w:hAnsi="fang_song_gb2312" w:cs="fang_song_gb2312"/>
          <w:kern w:val="0"/>
          <w:sz w:val="27"/>
          <w:szCs w:val="27"/>
        </w:rPr>
        <w:t>   </w:t>
      </w:r>
      <w:r>
        <w:rPr>
          <w:rFonts w:ascii="fang_song_gb2312" w:hAnsi="fang_song_gb2312" w:cs="fang_song_gb2312" w:hint="eastAsia"/>
          <w:kern w:val="0"/>
          <w:sz w:val="27"/>
          <w:szCs w:val="27"/>
        </w:rPr>
        <w:t xml:space="preserve"> </w:t>
      </w:r>
      <w:r>
        <w:rPr>
          <w:rFonts w:ascii="仿宋_GB2312" w:eastAsia="仿宋_GB2312" w:hint="eastAsia"/>
          <w:sz w:val="32"/>
        </w:rPr>
        <w:t>包头市电子商务促进中心 2023年度财政拨款收入、支出决算总计 212.09万元，与年初预算相比，收、支总计各增加 3.60万元，增长1.73%，变动原因：本年在职人员职务、职级晋升，社保缴费基数调增，年终追加预算；与上年决算相比，收、支总计各减少19.15万元，减少8.28%，变动原因：本年在职人员退休1人，导致支出相比上年减少；厉行勤俭节约，严格控制支出。</w:t>
      </w:r>
    </w:p>
    <w:p w14:paraId="7A2D94A5" w14:textId="77777777" w:rsidR="00B7661C" w:rsidRDefault="00AC1E27">
      <w:pPr>
        <w:autoSpaceDE w:val="0"/>
        <w:autoSpaceDN w:val="0"/>
        <w:adjustRightInd w:val="0"/>
        <w:spacing w:line="600" w:lineRule="exact"/>
        <w:ind w:firstLineChars="200" w:firstLine="643"/>
        <w:rPr>
          <w:rFonts w:ascii="黑体" w:eastAsia="黑体"/>
          <w:b/>
          <w:sz w:val="32"/>
        </w:rPr>
      </w:pPr>
      <w:r>
        <w:rPr>
          <w:rFonts w:ascii="黑体" w:eastAsia="黑体" w:hint="eastAsia"/>
          <w:b/>
          <w:sz w:val="32"/>
        </w:rPr>
        <w:t>五、一般公共预算财政拨款支出决算情况说明</w:t>
      </w:r>
    </w:p>
    <w:p w14:paraId="41AC86D6" w14:textId="77777777" w:rsidR="00B7661C" w:rsidRDefault="00AC1E27">
      <w:pPr>
        <w:widowControl/>
        <w:spacing w:before="240" w:after="240"/>
        <w:rPr>
          <w:rFonts w:ascii="kai_ti_gb2312" w:eastAsia="kai_ti_gb2312" w:hAnsi="kai_ti_gb2312" w:cs="kai_ti_gb2312"/>
          <w:b/>
          <w:bCs/>
          <w:kern w:val="0"/>
          <w:sz w:val="27"/>
          <w:szCs w:val="27"/>
        </w:rPr>
      </w:pPr>
      <w:r>
        <w:rPr>
          <w:rFonts w:ascii="fang_song_gb2312" w:eastAsia="fang_song_gb2312" w:hAnsi="fang_song_gb2312" w:cs="fang_song_gb2312"/>
          <w:kern w:val="0"/>
          <w:sz w:val="27"/>
          <w:szCs w:val="27"/>
        </w:rPr>
        <w:lastRenderedPageBreak/>
        <w:t xml:space="preserve">    </w:t>
      </w:r>
      <w:r>
        <w:rPr>
          <w:rFonts w:ascii="仿宋_GB2312" w:eastAsia="仿宋_GB2312" w:hint="eastAsia"/>
          <w:sz w:val="32"/>
        </w:rPr>
        <w:t>包头市电子商务促进中心 2023年度一般公共预算财政拨款支出决算 194.95万元。与年初预算 208.49万元相比，完成年初预算的 93.51%。其中：</w:t>
      </w:r>
    </w:p>
    <w:p w14:paraId="12BDA293" w14:textId="77777777" w:rsidR="00B7661C" w:rsidRDefault="00AC1E27">
      <w:pPr>
        <w:tabs>
          <w:tab w:val="left" w:pos="4275"/>
        </w:tabs>
        <w:autoSpaceDE w:val="0"/>
        <w:autoSpaceDN w:val="0"/>
        <w:adjustRightInd w:val="0"/>
        <w:spacing w:line="560" w:lineRule="exact"/>
        <w:ind w:firstLineChars="200" w:firstLine="643"/>
        <w:rPr>
          <w:rFonts w:ascii="楷体" w:eastAsia="楷体"/>
          <w:b/>
          <w:sz w:val="32"/>
        </w:rPr>
      </w:pPr>
      <w:r>
        <w:rPr>
          <w:rFonts w:ascii="楷体" w:eastAsia="楷体" w:hint="eastAsia"/>
          <w:b/>
          <w:sz w:val="32"/>
        </w:rPr>
        <w:t>（一）一般公共服务支出（类）</w:t>
      </w:r>
    </w:p>
    <w:p w14:paraId="1012AB49" w14:textId="77777777" w:rsidR="00B7661C" w:rsidRDefault="00AC1E27">
      <w:pPr>
        <w:autoSpaceDE w:val="0"/>
        <w:autoSpaceDN w:val="0"/>
        <w:adjustRightInd w:val="0"/>
        <w:spacing w:line="560" w:lineRule="exact"/>
        <w:ind w:firstLineChars="200" w:firstLine="640"/>
        <w:rPr>
          <w:rFonts w:ascii="仿宋_GB2312" w:eastAsia="仿宋_GB2312"/>
          <w:sz w:val="32"/>
        </w:rPr>
      </w:pPr>
      <w:r>
        <w:rPr>
          <w:rFonts w:ascii="仿宋_GB2312" w:eastAsia="仿宋_GB2312" w:hint="eastAsia"/>
          <w:sz w:val="32"/>
        </w:rPr>
        <w:t>一般公共服务类决算数为 150.41万元，与年初预算相比减少14.76万元。其中：</w:t>
      </w:r>
    </w:p>
    <w:p w14:paraId="3741C6BE" w14:textId="57F56503" w:rsidR="00B7661C" w:rsidRDefault="00AC1E27">
      <w:pPr>
        <w:autoSpaceDE w:val="0"/>
        <w:autoSpaceDN w:val="0"/>
        <w:adjustRightInd w:val="0"/>
        <w:spacing w:line="560" w:lineRule="exact"/>
        <w:ind w:firstLine="640"/>
        <w:rPr>
          <w:rFonts w:ascii="仿宋_GB2312" w:eastAsia="仿宋_GB2312"/>
          <w:sz w:val="32"/>
        </w:rPr>
      </w:pPr>
      <w:r>
        <w:rPr>
          <w:rFonts w:ascii="仿宋_GB2312" w:eastAsia="仿宋_GB2312" w:hint="eastAsia"/>
          <w:sz w:val="32"/>
        </w:rPr>
        <w:t>1．商贸事务（款）事业运行（项）。年初预算165.17万元，支出决算150.41万元，完成年初预算的</w:t>
      </w:r>
      <w:r w:rsidR="00015F20">
        <w:rPr>
          <w:rFonts w:ascii="仿宋_GB2312" w:eastAsia="仿宋_GB2312" w:hint="eastAsia"/>
          <w:sz w:val="32"/>
        </w:rPr>
        <w:t>91.06</w:t>
      </w:r>
      <w:r>
        <w:rPr>
          <w:rFonts w:ascii="仿宋_GB2312" w:eastAsia="仿宋_GB2312" w:hint="eastAsia"/>
          <w:sz w:val="32"/>
        </w:rPr>
        <w:t>%。决算数与年初预算数的差异原因：</w:t>
      </w:r>
      <w:r w:rsidR="005C1E12">
        <w:rPr>
          <w:rFonts w:ascii="仿宋_GB2312" w:eastAsia="仿宋_GB2312" w:hint="eastAsia"/>
          <w:sz w:val="32"/>
        </w:rPr>
        <w:t>使用上年结转资金。</w:t>
      </w:r>
    </w:p>
    <w:p w14:paraId="71723BD7" w14:textId="77777777" w:rsidR="00B7661C" w:rsidRDefault="00AC1E27">
      <w:pPr>
        <w:tabs>
          <w:tab w:val="left" w:pos="4275"/>
        </w:tabs>
        <w:autoSpaceDE w:val="0"/>
        <w:autoSpaceDN w:val="0"/>
        <w:adjustRightInd w:val="0"/>
        <w:spacing w:line="560" w:lineRule="exact"/>
        <w:ind w:firstLine="643"/>
        <w:rPr>
          <w:rFonts w:ascii="楷体" w:eastAsia="楷体"/>
          <w:b/>
          <w:sz w:val="32"/>
        </w:rPr>
      </w:pPr>
      <w:r>
        <w:rPr>
          <w:rFonts w:ascii="楷体" w:eastAsia="楷体" w:hint="eastAsia"/>
          <w:b/>
          <w:sz w:val="32"/>
        </w:rPr>
        <w:t>（二）社会保障和就业支出（类）</w:t>
      </w:r>
    </w:p>
    <w:p w14:paraId="466E989F" w14:textId="77777777" w:rsidR="00B7661C" w:rsidRDefault="00AC1E27">
      <w:pPr>
        <w:autoSpaceDE w:val="0"/>
        <w:autoSpaceDN w:val="0"/>
        <w:adjustRightInd w:val="0"/>
        <w:spacing w:line="560" w:lineRule="exact"/>
        <w:ind w:firstLine="640"/>
        <w:rPr>
          <w:rFonts w:ascii="仿宋_GB2312" w:eastAsia="仿宋_GB2312"/>
          <w:sz w:val="32"/>
        </w:rPr>
      </w:pPr>
      <w:r>
        <w:rPr>
          <w:rFonts w:ascii="仿宋_GB2312" w:eastAsia="仿宋_GB2312" w:hint="eastAsia"/>
          <w:sz w:val="32"/>
        </w:rPr>
        <w:t>社会保障和就业支出类决算数为 24.12万元，与年初预算相比增加3.79万元。其中：</w:t>
      </w:r>
    </w:p>
    <w:p w14:paraId="1BE1ECCC" w14:textId="77777777" w:rsidR="00B7661C" w:rsidRDefault="00AC1E27">
      <w:pPr>
        <w:autoSpaceDE w:val="0"/>
        <w:autoSpaceDN w:val="0"/>
        <w:adjustRightInd w:val="0"/>
        <w:spacing w:line="560" w:lineRule="exact"/>
        <w:ind w:firstLine="640"/>
        <w:rPr>
          <w:rFonts w:ascii="仿宋_GB2312" w:eastAsia="仿宋_GB2312"/>
          <w:sz w:val="32"/>
        </w:rPr>
      </w:pPr>
      <w:r>
        <w:rPr>
          <w:rFonts w:ascii="仿宋_GB2312" w:eastAsia="仿宋_GB2312" w:hint="eastAsia"/>
          <w:sz w:val="32"/>
        </w:rPr>
        <w:t>1．行政事业单位养老支出（款）事业单位离退休（项）。年初预算1.05万元，支出决算6.67万元，完成年初预算的635.24%。决算数与年初预算数的差异原因：本年新增退休人员1人，补发退休人员工资，年终追加预算。</w:t>
      </w:r>
    </w:p>
    <w:p w14:paraId="45460A34" w14:textId="77777777" w:rsidR="00B7661C" w:rsidRDefault="00AC1E27">
      <w:pPr>
        <w:autoSpaceDE w:val="0"/>
        <w:autoSpaceDN w:val="0"/>
        <w:adjustRightInd w:val="0"/>
        <w:spacing w:line="560" w:lineRule="exact"/>
        <w:ind w:firstLine="640"/>
        <w:rPr>
          <w:rFonts w:ascii="仿宋_GB2312" w:eastAsia="仿宋_GB2312"/>
          <w:sz w:val="32"/>
        </w:rPr>
      </w:pPr>
      <w:r>
        <w:rPr>
          <w:rFonts w:ascii="仿宋_GB2312" w:eastAsia="仿宋_GB2312" w:hint="eastAsia"/>
          <w:sz w:val="32"/>
        </w:rPr>
        <w:t>2．行政事业单位养老支出（款）机关事业单位基本养老保险缴费支出（项）。年初预算19.29万元，支出决算17.45万元，完成年初预算的90.46%。决算数与年初预算数的差异原因：本年新增退休人员1人。</w:t>
      </w:r>
    </w:p>
    <w:p w14:paraId="2B023A4B" w14:textId="77777777" w:rsidR="00B7661C" w:rsidRDefault="00AC1E27">
      <w:pPr>
        <w:tabs>
          <w:tab w:val="left" w:pos="4275"/>
        </w:tabs>
        <w:autoSpaceDE w:val="0"/>
        <w:autoSpaceDN w:val="0"/>
        <w:adjustRightInd w:val="0"/>
        <w:spacing w:line="560" w:lineRule="exact"/>
        <w:ind w:firstLine="643"/>
        <w:rPr>
          <w:rFonts w:ascii="楷体" w:eastAsia="楷体"/>
          <w:b/>
          <w:sz w:val="32"/>
        </w:rPr>
      </w:pPr>
      <w:r>
        <w:rPr>
          <w:rFonts w:ascii="楷体" w:eastAsia="楷体" w:hint="eastAsia"/>
          <w:b/>
          <w:sz w:val="32"/>
        </w:rPr>
        <w:t>（三）卫生健康支出（类）</w:t>
      </w:r>
    </w:p>
    <w:p w14:paraId="0F831B14" w14:textId="77777777" w:rsidR="00B7661C" w:rsidRDefault="00AC1E27">
      <w:pPr>
        <w:autoSpaceDE w:val="0"/>
        <w:autoSpaceDN w:val="0"/>
        <w:adjustRightInd w:val="0"/>
        <w:spacing w:line="560" w:lineRule="exact"/>
        <w:ind w:firstLine="640"/>
        <w:rPr>
          <w:rFonts w:ascii="仿宋_GB2312" w:eastAsia="仿宋_GB2312"/>
          <w:sz w:val="32"/>
        </w:rPr>
      </w:pPr>
      <w:r>
        <w:rPr>
          <w:rFonts w:ascii="仿宋_GB2312" w:eastAsia="仿宋_GB2312" w:hint="eastAsia"/>
          <w:sz w:val="32"/>
        </w:rPr>
        <w:t>卫生健康支出类决算数为 7.55万元，与年初预算相比减少0.31万元。其中：</w:t>
      </w:r>
    </w:p>
    <w:p w14:paraId="33B27AD9" w14:textId="77777777" w:rsidR="00B7661C" w:rsidRDefault="00AC1E27">
      <w:pPr>
        <w:autoSpaceDE w:val="0"/>
        <w:autoSpaceDN w:val="0"/>
        <w:adjustRightInd w:val="0"/>
        <w:spacing w:line="560" w:lineRule="exact"/>
        <w:ind w:firstLine="640"/>
        <w:rPr>
          <w:rFonts w:ascii="仿宋_GB2312" w:eastAsia="仿宋_GB2312"/>
          <w:sz w:val="32"/>
        </w:rPr>
      </w:pPr>
      <w:r>
        <w:rPr>
          <w:rFonts w:ascii="仿宋_GB2312" w:eastAsia="仿宋_GB2312" w:hint="eastAsia"/>
          <w:sz w:val="32"/>
        </w:rPr>
        <w:t>1．行政事业单位医疗（款）事业单位医疗（项）。年初预算7.87万元，支出决算7.55万元，完成年初预算的95.93%。决算数与年初预</w:t>
      </w:r>
      <w:r>
        <w:rPr>
          <w:rFonts w:ascii="仿宋_GB2312" w:eastAsia="仿宋_GB2312" w:hint="eastAsia"/>
          <w:sz w:val="32"/>
        </w:rPr>
        <w:lastRenderedPageBreak/>
        <w:t>算数的差异原因：本年新增退休人员1人。</w:t>
      </w:r>
    </w:p>
    <w:p w14:paraId="611FB397" w14:textId="77777777" w:rsidR="00B7661C" w:rsidRDefault="00AC1E27">
      <w:pPr>
        <w:tabs>
          <w:tab w:val="left" w:pos="4275"/>
        </w:tabs>
        <w:autoSpaceDE w:val="0"/>
        <w:autoSpaceDN w:val="0"/>
        <w:adjustRightInd w:val="0"/>
        <w:spacing w:line="560" w:lineRule="exact"/>
        <w:ind w:firstLine="643"/>
        <w:rPr>
          <w:rFonts w:ascii="楷体" w:eastAsia="楷体"/>
          <w:b/>
          <w:sz w:val="32"/>
        </w:rPr>
      </w:pPr>
      <w:r>
        <w:rPr>
          <w:rFonts w:ascii="楷体" w:eastAsia="楷体" w:hint="eastAsia"/>
          <w:b/>
          <w:sz w:val="32"/>
        </w:rPr>
        <w:t>（四）住房保障支出（类）</w:t>
      </w:r>
    </w:p>
    <w:p w14:paraId="1839A31E" w14:textId="77777777" w:rsidR="00B7661C" w:rsidRDefault="00AC1E27">
      <w:pPr>
        <w:autoSpaceDE w:val="0"/>
        <w:autoSpaceDN w:val="0"/>
        <w:adjustRightInd w:val="0"/>
        <w:spacing w:line="560" w:lineRule="exact"/>
        <w:ind w:firstLine="640"/>
        <w:rPr>
          <w:rFonts w:ascii="仿宋_GB2312" w:eastAsia="仿宋_GB2312"/>
          <w:sz w:val="32"/>
        </w:rPr>
      </w:pPr>
      <w:r>
        <w:rPr>
          <w:rFonts w:ascii="仿宋_GB2312" w:eastAsia="仿宋_GB2312" w:hint="eastAsia"/>
          <w:sz w:val="32"/>
        </w:rPr>
        <w:t>住房保障支出类决算数为 12.86万元，与年初预算相比减少2.25万元。其中：</w:t>
      </w:r>
    </w:p>
    <w:p w14:paraId="763361A7" w14:textId="77777777" w:rsidR="00B7661C" w:rsidRDefault="00AC1E27">
      <w:pPr>
        <w:autoSpaceDE w:val="0"/>
        <w:autoSpaceDN w:val="0"/>
        <w:adjustRightInd w:val="0"/>
        <w:spacing w:line="560" w:lineRule="exact"/>
        <w:ind w:firstLineChars="200" w:firstLine="640"/>
        <w:rPr>
          <w:rFonts w:ascii="仿宋_GB2312" w:eastAsia="仿宋_GB2312"/>
          <w:sz w:val="32"/>
        </w:rPr>
      </w:pPr>
      <w:r>
        <w:rPr>
          <w:rFonts w:ascii="仿宋_GB2312" w:eastAsia="仿宋_GB2312" w:hint="eastAsia"/>
          <w:sz w:val="32"/>
        </w:rPr>
        <w:t>1．住房改革支出（款）住房公积金（项）。年初预算15.11万元，支出决算12.86万元，完成年初预算的85.11%。决算数与年初预算数的差异原因：新增退休人员1人。</w:t>
      </w:r>
    </w:p>
    <w:p w14:paraId="2C3646DE" w14:textId="77777777" w:rsidR="00B7661C" w:rsidRDefault="00AC1E27">
      <w:pPr>
        <w:autoSpaceDE w:val="0"/>
        <w:autoSpaceDN w:val="0"/>
        <w:adjustRightInd w:val="0"/>
        <w:spacing w:line="600" w:lineRule="exact"/>
        <w:ind w:left="424" w:firstLine="212"/>
        <w:rPr>
          <w:rFonts w:ascii="黑体" w:eastAsia="黑体"/>
          <w:b/>
          <w:sz w:val="32"/>
        </w:rPr>
      </w:pPr>
      <w:r>
        <w:rPr>
          <w:rFonts w:ascii="黑体" w:eastAsia="黑体" w:hint="eastAsia"/>
          <w:b/>
          <w:sz w:val="32"/>
        </w:rPr>
        <w:t>六、一般公共预算财政拨款基本支出决算情况说明</w:t>
      </w:r>
    </w:p>
    <w:p w14:paraId="39498E96" w14:textId="77777777" w:rsidR="00B7661C" w:rsidRDefault="00AC1E27">
      <w:pPr>
        <w:autoSpaceDE w:val="0"/>
        <w:autoSpaceDN w:val="0"/>
        <w:adjustRightInd w:val="0"/>
        <w:spacing w:line="560" w:lineRule="exact"/>
        <w:ind w:firstLine="640"/>
        <w:rPr>
          <w:rFonts w:ascii="仿宋_GB2312" w:eastAsia="仿宋_GB2312"/>
          <w:sz w:val="32"/>
        </w:rPr>
      </w:pPr>
      <w:r>
        <w:rPr>
          <w:rFonts w:ascii="仿宋_GB2312" w:eastAsia="仿宋_GB2312" w:hint="eastAsia"/>
          <w:sz w:val="32"/>
        </w:rPr>
        <w:t>包头市电子商务促进中心 2023年度一般公共预算财政拨款基本支出决算 194.95万元，其中：</w:t>
      </w:r>
    </w:p>
    <w:p w14:paraId="55EFE576" w14:textId="77777777" w:rsidR="00B7661C" w:rsidRDefault="00AC1E27">
      <w:pPr>
        <w:autoSpaceDE w:val="0"/>
        <w:autoSpaceDN w:val="0"/>
        <w:adjustRightInd w:val="0"/>
        <w:spacing w:line="560" w:lineRule="exact"/>
        <w:ind w:firstLine="640"/>
        <w:rPr>
          <w:rFonts w:ascii="仿宋_GB2312" w:eastAsia="仿宋_GB2312"/>
          <w:sz w:val="32"/>
        </w:rPr>
      </w:pPr>
      <w:r>
        <w:rPr>
          <w:rFonts w:ascii="仿宋_GB2312" w:eastAsia="仿宋_GB2312" w:hint="eastAsia"/>
          <w:b/>
          <w:bCs/>
          <w:sz w:val="32"/>
        </w:rPr>
        <w:t>（一）人员经费</w:t>
      </w:r>
      <w:r>
        <w:rPr>
          <w:rFonts w:ascii="仿宋_GB2312" w:eastAsia="仿宋_GB2312" w:hint="eastAsia"/>
          <w:b/>
          <w:bCs/>
          <w:sz w:val="32"/>
          <w:u w:val="single"/>
        </w:rPr>
        <w:t xml:space="preserve"> 185.45</w:t>
      </w:r>
      <w:r>
        <w:rPr>
          <w:rFonts w:ascii="仿宋_GB2312" w:eastAsia="仿宋_GB2312" w:hint="eastAsia"/>
          <w:b/>
          <w:bCs/>
          <w:sz w:val="32"/>
        </w:rPr>
        <w:t>万元</w:t>
      </w:r>
      <w:r>
        <w:rPr>
          <w:rFonts w:ascii="仿宋_GB2312" w:eastAsia="仿宋_GB2312" w:hint="eastAsia"/>
          <w:sz w:val="32"/>
        </w:rPr>
        <w:t>。主要包括：基本工资48.74万元、津贴补贴14.63万元、奖金28.72万元、其他社会保障缴费4.04万元、绩效工资44.47万元、机关事业单位基本养老保险缴费17.45万元、职工基本医疗保险缴费7.55万元、退休费6.67万元、住房公积金12.86万元、其他对个人和家庭的补助支出0.32万元。</w:t>
      </w:r>
    </w:p>
    <w:p w14:paraId="6F42B8F4" w14:textId="77777777" w:rsidR="00B7661C" w:rsidRDefault="00AC1E27">
      <w:pPr>
        <w:autoSpaceDE w:val="0"/>
        <w:autoSpaceDN w:val="0"/>
        <w:adjustRightInd w:val="0"/>
        <w:spacing w:line="560" w:lineRule="exact"/>
        <w:ind w:firstLine="640"/>
        <w:rPr>
          <w:rFonts w:ascii="仿宋_GB2312" w:eastAsia="仿宋_GB2312"/>
          <w:sz w:val="32"/>
        </w:rPr>
      </w:pPr>
      <w:r>
        <w:rPr>
          <w:rFonts w:ascii="仿宋_GB2312" w:eastAsia="仿宋_GB2312" w:hint="eastAsia"/>
          <w:b/>
          <w:bCs/>
          <w:sz w:val="32"/>
        </w:rPr>
        <w:t>（二）公用经费</w:t>
      </w:r>
      <w:r>
        <w:rPr>
          <w:rFonts w:ascii="仿宋_GB2312" w:eastAsia="仿宋_GB2312" w:hint="eastAsia"/>
          <w:b/>
          <w:bCs/>
          <w:sz w:val="32"/>
          <w:u w:val="single"/>
        </w:rPr>
        <w:t>9.51</w:t>
      </w:r>
      <w:r>
        <w:rPr>
          <w:rFonts w:ascii="仿宋_GB2312" w:eastAsia="仿宋_GB2312" w:hint="eastAsia"/>
          <w:b/>
          <w:bCs/>
          <w:sz w:val="32"/>
        </w:rPr>
        <w:t>万元</w:t>
      </w:r>
      <w:r>
        <w:rPr>
          <w:rFonts w:ascii="仿宋_GB2312" w:eastAsia="仿宋_GB2312" w:hint="eastAsia"/>
          <w:sz w:val="32"/>
        </w:rPr>
        <w:t>。主要包括：办公费0.55万元、咨询费0.65万元、手续费0.01万元、邮电费0.01万元、差旅费0.25万元、维修（护）费0.02万元、培训费0.30万元、委托业务费0.81万元、工会经费2.41万元、福利费3.01万元、公务用车运行维护费1.48万元。</w:t>
      </w:r>
    </w:p>
    <w:p w14:paraId="6DBE67B7" w14:textId="77777777" w:rsidR="00B7661C" w:rsidRDefault="00AC1E27">
      <w:pPr>
        <w:autoSpaceDE w:val="0"/>
        <w:autoSpaceDN w:val="0"/>
        <w:adjustRightInd w:val="0"/>
        <w:spacing w:line="600" w:lineRule="exact"/>
        <w:ind w:left="424" w:firstLine="212"/>
        <w:rPr>
          <w:rFonts w:ascii="黑体" w:eastAsia="黑体"/>
          <w:b/>
          <w:sz w:val="32"/>
        </w:rPr>
      </w:pPr>
      <w:r>
        <w:rPr>
          <w:rFonts w:ascii="黑体" w:eastAsia="黑体" w:hint="eastAsia"/>
          <w:b/>
          <w:sz w:val="32"/>
        </w:rPr>
        <w:t>七、一般公共预算财政拨款项目支出决算情况说明</w:t>
      </w:r>
    </w:p>
    <w:p w14:paraId="3C9DDA15" w14:textId="77777777" w:rsidR="00B7661C" w:rsidRDefault="00AC1E27">
      <w:pPr>
        <w:widowControl/>
        <w:spacing w:before="240" w:after="240"/>
        <w:ind w:firstLineChars="200" w:firstLine="640"/>
        <w:rPr>
          <w:rFonts w:ascii="仿宋_GB2312" w:eastAsia="仿宋_GB2312"/>
          <w:sz w:val="32"/>
        </w:rPr>
      </w:pPr>
      <w:r>
        <w:rPr>
          <w:rFonts w:ascii="仿宋_GB2312" w:eastAsia="仿宋_GB2312" w:hint="eastAsia"/>
          <w:sz w:val="32"/>
        </w:rPr>
        <w:t>包头市电子商务促进中心 2023年度一般公共预算财政拨款项目支出决算 0.00万元，其中：</w:t>
      </w:r>
    </w:p>
    <w:p w14:paraId="0EC42230" w14:textId="77777777" w:rsidR="00B7661C" w:rsidRDefault="00AC1E27">
      <w:pPr>
        <w:widowControl/>
        <w:spacing w:before="240" w:after="240"/>
        <w:ind w:firstLineChars="200" w:firstLine="643"/>
        <w:rPr>
          <w:rFonts w:ascii="仿宋_GB2312" w:eastAsia="仿宋_GB2312"/>
          <w:b/>
          <w:bCs/>
          <w:sz w:val="32"/>
        </w:rPr>
      </w:pPr>
      <w:r>
        <w:rPr>
          <w:rFonts w:ascii="仿宋_GB2312" w:eastAsia="仿宋_GB2312" w:hint="eastAsia"/>
          <w:b/>
          <w:bCs/>
          <w:sz w:val="32"/>
        </w:rPr>
        <w:t xml:space="preserve">（一）工资福利支出 </w:t>
      </w:r>
      <w:r>
        <w:rPr>
          <w:rFonts w:ascii="仿宋_GB2312" w:eastAsia="仿宋_GB2312" w:hint="eastAsia"/>
          <w:b/>
          <w:bCs/>
          <w:sz w:val="32"/>
          <w:u w:val="single"/>
        </w:rPr>
        <w:t>0.00</w:t>
      </w:r>
      <w:r>
        <w:rPr>
          <w:rFonts w:ascii="仿宋_GB2312" w:eastAsia="仿宋_GB2312" w:hint="eastAsia"/>
          <w:b/>
          <w:bCs/>
          <w:sz w:val="32"/>
        </w:rPr>
        <w:t>万元。</w:t>
      </w:r>
    </w:p>
    <w:p w14:paraId="156034A7" w14:textId="77777777" w:rsidR="00B7661C" w:rsidRDefault="00AC1E27">
      <w:pPr>
        <w:widowControl/>
        <w:spacing w:before="240" w:after="240"/>
        <w:ind w:firstLineChars="200" w:firstLine="643"/>
        <w:rPr>
          <w:rFonts w:ascii="仿宋_GB2312" w:eastAsia="仿宋_GB2312"/>
          <w:sz w:val="32"/>
        </w:rPr>
      </w:pPr>
      <w:r>
        <w:rPr>
          <w:rFonts w:ascii="仿宋_GB2312" w:eastAsia="仿宋_GB2312" w:hint="eastAsia"/>
          <w:b/>
          <w:bCs/>
          <w:sz w:val="32"/>
        </w:rPr>
        <w:lastRenderedPageBreak/>
        <w:t>（二）商品和服务支出</w:t>
      </w:r>
      <w:r>
        <w:rPr>
          <w:rFonts w:ascii="仿宋_GB2312" w:eastAsia="仿宋_GB2312" w:hint="eastAsia"/>
          <w:b/>
          <w:bCs/>
          <w:sz w:val="32"/>
          <w:u w:val="single"/>
        </w:rPr>
        <w:t xml:space="preserve"> 0.00</w:t>
      </w:r>
      <w:r>
        <w:rPr>
          <w:rFonts w:ascii="仿宋_GB2312" w:eastAsia="仿宋_GB2312" w:hint="eastAsia"/>
          <w:b/>
          <w:bCs/>
          <w:sz w:val="32"/>
        </w:rPr>
        <w:t>万元。</w:t>
      </w:r>
    </w:p>
    <w:p w14:paraId="26D09A66" w14:textId="77777777" w:rsidR="00B7661C" w:rsidRDefault="00AC1E27">
      <w:pPr>
        <w:widowControl/>
        <w:spacing w:before="240" w:after="240"/>
        <w:ind w:leftChars="200" w:left="420" w:firstLineChars="100" w:firstLine="321"/>
        <w:jc w:val="left"/>
        <w:rPr>
          <w:rFonts w:eastAsia="Times New Roman"/>
          <w:kern w:val="0"/>
          <w:sz w:val="24"/>
        </w:rPr>
      </w:pPr>
      <w:r>
        <w:rPr>
          <w:rFonts w:ascii="黑体" w:eastAsia="黑体" w:hint="eastAsia"/>
          <w:b/>
          <w:sz w:val="32"/>
        </w:rPr>
        <w:t>八、财政拨款“三公”经费支出决算情况说明</w:t>
      </w:r>
    </w:p>
    <w:p w14:paraId="2BC00995" w14:textId="77777777" w:rsidR="00B7661C" w:rsidRDefault="00AC1E27">
      <w:pPr>
        <w:widowControl/>
        <w:spacing w:before="240" w:after="240"/>
        <w:ind w:firstLineChars="200" w:firstLine="643"/>
        <w:jc w:val="left"/>
        <w:rPr>
          <w:rFonts w:eastAsia="Times New Roman"/>
          <w:kern w:val="0"/>
          <w:sz w:val="24"/>
        </w:rPr>
      </w:pPr>
      <w:r>
        <w:rPr>
          <w:rFonts w:ascii="楷体" w:eastAsia="楷体" w:hint="eastAsia"/>
          <w:b/>
          <w:sz w:val="32"/>
        </w:rPr>
        <w:t>（一）财政拨款“三公”经费支出总体情况说明。</w:t>
      </w:r>
    </w:p>
    <w:p w14:paraId="013C5A65" w14:textId="77777777" w:rsidR="00B7661C" w:rsidRDefault="00AC1E27">
      <w:pPr>
        <w:widowControl/>
        <w:spacing w:before="240" w:after="240"/>
        <w:ind w:firstLineChars="200" w:firstLine="640"/>
        <w:rPr>
          <w:rFonts w:ascii="仿宋_GB2312" w:eastAsia="仿宋_GB2312"/>
          <w:sz w:val="32"/>
        </w:rPr>
      </w:pPr>
      <w:r>
        <w:rPr>
          <w:rFonts w:ascii="仿宋_GB2312" w:eastAsia="仿宋_GB2312" w:hint="eastAsia"/>
          <w:sz w:val="32"/>
        </w:rPr>
        <w:t>包头市电子商务促进中心 2023年度财政拨款“三公”经费全年预算 2.50万元，支出决算 1.48万元，完成预算的 59.00%。其中：因公出国（境）费全年预算 0.00万元，支出决算 0.00万元，完成预算的 0.00%；公务用车购置及运行维护费全年预算 2.50万元，支出决算 1.48万元，完成预算的 59.00%；公务接待费全年预算 0.00万元，支出决算 0.00万元，完成预算的 0.00%。2023年度一般公共预算财政拨款“三公”经费支出决算与预算差异原因是厉行勤俭节约，严格控制公务用车购置及运行维护费支出。</w:t>
      </w:r>
    </w:p>
    <w:p w14:paraId="03649030" w14:textId="77777777" w:rsidR="00B7661C" w:rsidRDefault="00AC1E27">
      <w:pPr>
        <w:widowControl/>
        <w:spacing w:before="240" w:after="240"/>
        <w:jc w:val="left"/>
        <w:rPr>
          <w:rFonts w:eastAsia="Times New Roman"/>
          <w:kern w:val="0"/>
          <w:sz w:val="24"/>
        </w:rPr>
      </w:pPr>
      <w:r>
        <w:rPr>
          <w:rFonts w:ascii="kai_ti_gb2312" w:eastAsia="kai_ti_gb2312" w:hAnsi="kai_ti_gb2312" w:cs="kai_ti_gb2312"/>
          <w:b/>
          <w:bCs/>
          <w:kern w:val="0"/>
          <w:sz w:val="27"/>
          <w:szCs w:val="27"/>
        </w:rPr>
        <w:t> </w:t>
      </w:r>
      <w:r>
        <w:rPr>
          <w:rFonts w:ascii="楷体" w:eastAsia="楷体" w:hint="eastAsia"/>
          <w:b/>
          <w:sz w:val="32"/>
        </w:rPr>
        <w:t xml:space="preserve"> </w:t>
      </w:r>
      <w:r>
        <w:rPr>
          <w:rFonts w:ascii="楷体" w:eastAsia="楷体" w:hint="eastAsia"/>
          <w:b/>
          <w:sz w:val="32"/>
        </w:rPr>
        <w:t> </w:t>
      </w:r>
      <w:r>
        <w:rPr>
          <w:rFonts w:ascii="楷体" w:eastAsia="楷体" w:hint="eastAsia"/>
          <w:b/>
          <w:sz w:val="32"/>
        </w:rPr>
        <w:t xml:space="preserve">  （二）财政拨款“三公”经费支出具体情况说明。</w:t>
      </w:r>
    </w:p>
    <w:p w14:paraId="43FC3D75" w14:textId="77777777" w:rsidR="00B7661C" w:rsidRDefault="00AC1E27">
      <w:pPr>
        <w:widowControl/>
        <w:spacing w:before="240" w:after="240"/>
        <w:rPr>
          <w:rFonts w:ascii="仿宋_GB2312" w:eastAsia="仿宋_GB2312"/>
          <w:sz w:val="32"/>
        </w:rPr>
      </w:pPr>
      <w:r>
        <w:rPr>
          <w:rFonts w:ascii="fang_song_gb2312" w:eastAsia="fang_song_gb2312" w:hAnsi="fang_song_gb2312" w:cs="fang_song_gb2312"/>
          <w:kern w:val="0"/>
          <w:sz w:val="27"/>
          <w:szCs w:val="27"/>
        </w:rPr>
        <w:t xml:space="preserve">    </w:t>
      </w:r>
      <w:r>
        <w:rPr>
          <w:rFonts w:ascii="fang_song_gb2312" w:hAnsi="fang_song_gb2312" w:cs="fang_song_gb2312" w:hint="eastAsia"/>
          <w:kern w:val="0"/>
          <w:sz w:val="27"/>
          <w:szCs w:val="27"/>
        </w:rPr>
        <w:t xml:space="preserve"> </w:t>
      </w:r>
      <w:r>
        <w:rPr>
          <w:rFonts w:ascii="仿宋_GB2312" w:eastAsia="仿宋_GB2312" w:hint="eastAsia"/>
          <w:sz w:val="32"/>
        </w:rPr>
        <w:t>包头市电子商务促进中心 2023年度财政拨款“三公”经费支出 1.48万元。因公出国（境）费支出 0.00万元，占 0.00%；公务用车购置及运行维护费支出 1.48万元，占 100.00%；公务接待费支出 0.00万元，占 0.00%。其中：</w:t>
      </w:r>
    </w:p>
    <w:p w14:paraId="3ECE836F" w14:textId="77777777" w:rsidR="00B7661C" w:rsidRDefault="00AC1E27">
      <w:pPr>
        <w:widowControl/>
        <w:spacing w:before="240" w:after="240"/>
        <w:rPr>
          <w:rFonts w:ascii="仿宋_GB2312" w:eastAsia="仿宋_GB2312"/>
          <w:sz w:val="32"/>
        </w:rPr>
      </w:pPr>
      <w:r>
        <w:rPr>
          <w:rFonts w:ascii="仿宋_GB2312" w:eastAsia="仿宋_GB2312" w:hint="eastAsia"/>
          <w:sz w:val="32"/>
        </w:rPr>
        <w:t> </w:t>
      </w:r>
      <w:r>
        <w:rPr>
          <w:rFonts w:ascii="仿宋_GB2312" w:eastAsia="仿宋_GB2312" w:hint="eastAsia"/>
          <w:sz w:val="32"/>
        </w:rPr>
        <w:t xml:space="preserve"> </w:t>
      </w:r>
      <w:r>
        <w:rPr>
          <w:rFonts w:ascii="仿宋_GB2312" w:eastAsia="仿宋_GB2312" w:hint="eastAsia"/>
          <w:sz w:val="32"/>
        </w:rPr>
        <w:t> </w:t>
      </w:r>
      <w:r>
        <w:rPr>
          <w:rFonts w:ascii="仿宋_GB2312" w:eastAsia="仿宋_GB2312" w:hint="eastAsia"/>
          <w:sz w:val="32"/>
        </w:rPr>
        <w:t xml:space="preserve">  1.因公出国（境）费支出 0.00万元，全年出国（境）团组0 </w:t>
      </w:r>
      <w:proofErr w:type="gramStart"/>
      <w:r>
        <w:rPr>
          <w:rFonts w:ascii="仿宋_GB2312" w:eastAsia="仿宋_GB2312" w:hint="eastAsia"/>
          <w:sz w:val="32"/>
        </w:rPr>
        <w:t>个</w:t>
      </w:r>
      <w:proofErr w:type="gramEnd"/>
      <w:r>
        <w:rPr>
          <w:rFonts w:ascii="仿宋_GB2312" w:eastAsia="仿宋_GB2312" w:hint="eastAsia"/>
          <w:sz w:val="32"/>
        </w:rPr>
        <w:t>，累计0 人次。与上年决算相比，增加 0.00万元，增长0.00%，变动原因：不存在此项内容。</w:t>
      </w:r>
    </w:p>
    <w:p w14:paraId="13951052" w14:textId="77777777" w:rsidR="00B7661C" w:rsidRDefault="00AC1E27">
      <w:pPr>
        <w:widowControl/>
        <w:spacing w:before="240" w:after="240"/>
        <w:rPr>
          <w:rFonts w:ascii="仿宋_GB2312" w:eastAsia="仿宋_GB2312"/>
          <w:sz w:val="32"/>
        </w:rPr>
      </w:pPr>
      <w:r>
        <w:rPr>
          <w:rFonts w:ascii="times_new_roman" w:eastAsia="times_new_roman" w:hAnsi="times_new_roman" w:cs="times_new_roman"/>
          <w:kern w:val="0"/>
          <w:sz w:val="27"/>
          <w:szCs w:val="27"/>
        </w:rPr>
        <w:lastRenderedPageBreak/>
        <w:t> </w:t>
      </w:r>
      <w:r>
        <w:rPr>
          <w:rFonts w:ascii="times_new_roman" w:hAnsi="times_new_roman" w:cs="times_new_roman" w:hint="eastAsia"/>
          <w:kern w:val="0"/>
          <w:sz w:val="27"/>
          <w:szCs w:val="27"/>
        </w:rPr>
        <w:t xml:space="preserve"> </w:t>
      </w:r>
      <w:r>
        <w:rPr>
          <w:rFonts w:ascii="times_new_roman" w:eastAsia="times_new_roman" w:hAnsi="times_new_roman" w:cs="times_new_roman"/>
          <w:kern w:val="0"/>
          <w:sz w:val="27"/>
          <w:szCs w:val="27"/>
        </w:rPr>
        <w:t xml:space="preserve"> </w:t>
      </w:r>
      <w:r>
        <w:rPr>
          <w:rFonts w:ascii="仿宋_GB2312" w:eastAsia="仿宋_GB2312" w:hint="eastAsia"/>
          <w:sz w:val="32"/>
        </w:rPr>
        <w:t> </w:t>
      </w:r>
      <w:r>
        <w:rPr>
          <w:rFonts w:ascii="仿宋_GB2312" w:eastAsia="仿宋_GB2312" w:hint="eastAsia"/>
          <w:sz w:val="32"/>
        </w:rPr>
        <w:t xml:space="preserve"> 2.公务用车购置及运行维护费支出 1.48万元。其中：</w:t>
      </w:r>
    </w:p>
    <w:p w14:paraId="589FC8D8" w14:textId="77777777" w:rsidR="00B7661C" w:rsidRDefault="00AC1E27">
      <w:pPr>
        <w:widowControl/>
        <w:spacing w:before="240" w:after="240"/>
        <w:rPr>
          <w:rFonts w:ascii="仿宋_GB2312" w:eastAsia="仿宋_GB2312"/>
          <w:sz w:val="32"/>
        </w:rPr>
      </w:pPr>
      <w:r>
        <w:rPr>
          <w:rFonts w:ascii="仿宋_GB2312" w:eastAsia="仿宋_GB2312" w:hint="eastAsia"/>
          <w:sz w:val="32"/>
        </w:rPr>
        <w:t> </w:t>
      </w:r>
      <w:r>
        <w:rPr>
          <w:rFonts w:ascii="仿宋_GB2312" w:eastAsia="仿宋_GB2312" w:hint="eastAsia"/>
          <w:sz w:val="32"/>
        </w:rPr>
        <w:t xml:space="preserve"> </w:t>
      </w:r>
      <w:r>
        <w:rPr>
          <w:rFonts w:ascii="仿宋_GB2312" w:eastAsia="仿宋_GB2312" w:hint="eastAsia"/>
          <w:sz w:val="32"/>
        </w:rPr>
        <w:t> </w:t>
      </w:r>
      <w:r>
        <w:rPr>
          <w:rFonts w:ascii="仿宋_GB2312" w:eastAsia="仿宋_GB2312" w:hint="eastAsia"/>
          <w:sz w:val="32"/>
        </w:rPr>
        <w:t xml:space="preserve"> （1）公务用车购置支出 0.00万元。本年度使用财政拨款购置公务用车0 辆，与上年决算相比，增加 0.00万元，增长 0.00%，变动原因：不存在此项内容。</w:t>
      </w:r>
    </w:p>
    <w:p w14:paraId="04E8E302" w14:textId="77777777" w:rsidR="00B7661C" w:rsidRDefault="00AC1E27">
      <w:pPr>
        <w:widowControl/>
        <w:spacing w:before="240" w:after="240"/>
        <w:rPr>
          <w:rFonts w:ascii="仿宋_GB2312" w:eastAsia="仿宋_GB2312"/>
          <w:sz w:val="32"/>
        </w:rPr>
      </w:pPr>
      <w:r>
        <w:rPr>
          <w:rFonts w:ascii="仿宋_GB2312" w:eastAsia="仿宋_GB2312" w:hint="eastAsia"/>
          <w:sz w:val="32"/>
        </w:rPr>
        <w:t> </w:t>
      </w:r>
      <w:r>
        <w:rPr>
          <w:rFonts w:ascii="仿宋_GB2312" w:eastAsia="仿宋_GB2312" w:hint="eastAsia"/>
          <w:sz w:val="32"/>
        </w:rPr>
        <w:t xml:space="preserve"> </w:t>
      </w:r>
      <w:r>
        <w:rPr>
          <w:rFonts w:ascii="仿宋_GB2312" w:eastAsia="仿宋_GB2312" w:hint="eastAsia"/>
          <w:sz w:val="32"/>
        </w:rPr>
        <w:t> </w:t>
      </w:r>
      <w:r>
        <w:rPr>
          <w:rFonts w:ascii="仿宋_GB2312" w:eastAsia="仿宋_GB2312" w:hint="eastAsia"/>
          <w:sz w:val="32"/>
        </w:rPr>
        <w:t xml:space="preserve"> （2）公务用车运行维护费支出 1.48万元。公务用车运行维护费主要用于按规定保留的公务用车的燃料费、维修费、过路费、保险费等支出。截至2023年12月31日，使用财政拨款开支的公务用车保有量为1 辆。与上年决算相比，减少0.79万元，减少34.78%，变动原因：厉行勤俭节约，严格控制公务用车运行维护费支出。</w:t>
      </w:r>
    </w:p>
    <w:p w14:paraId="755983B6" w14:textId="77777777" w:rsidR="00B7661C" w:rsidRDefault="00AC1E27">
      <w:pPr>
        <w:widowControl/>
        <w:spacing w:before="240" w:after="240"/>
        <w:rPr>
          <w:rFonts w:ascii="仿宋_GB2312" w:eastAsia="仿宋_GB2312"/>
          <w:sz w:val="32"/>
        </w:rPr>
      </w:pPr>
      <w:r>
        <w:rPr>
          <w:rFonts w:ascii="仿宋_GB2312" w:eastAsia="仿宋_GB2312" w:hint="eastAsia"/>
          <w:sz w:val="32"/>
        </w:rPr>
        <w:t> </w:t>
      </w:r>
      <w:r>
        <w:rPr>
          <w:rFonts w:ascii="仿宋_GB2312" w:eastAsia="仿宋_GB2312" w:hint="eastAsia"/>
          <w:sz w:val="32"/>
        </w:rPr>
        <w:t xml:space="preserve"> </w:t>
      </w:r>
      <w:r>
        <w:rPr>
          <w:rFonts w:ascii="仿宋_GB2312" w:eastAsia="仿宋_GB2312" w:hint="eastAsia"/>
          <w:sz w:val="32"/>
        </w:rPr>
        <w:t> </w:t>
      </w:r>
      <w:r>
        <w:rPr>
          <w:rFonts w:ascii="仿宋_GB2312" w:eastAsia="仿宋_GB2312" w:hint="eastAsia"/>
          <w:sz w:val="32"/>
        </w:rPr>
        <w:t xml:space="preserve">  3.公务接待费支出 0.00万元。其中：国内公务接待支出 0.00万元，接待0 批次，0 人次；国（境）外公务接待支出 0.00万元，接待0 批次，0 人次。与上年决算相比，增加0.00万元，增长0.00%，变动原因：不存在此项内容。</w:t>
      </w:r>
    </w:p>
    <w:p w14:paraId="061EE1F8" w14:textId="77777777" w:rsidR="00B7661C" w:rsidRDefault="00AC1E27">
      <w:pPr>
        <w:autoSpaceDE w:val="0"/>
        <w:autoSpaceDN w:val="0"/>
        <w:adjustRightInd w:val="0"/>
        <w:spacing w:line="600" w:lineRule="exact"/>
        <w:ind w:left="424" w:firstLine="212"/>
        <w:rPr>
          <w:rFonts w:ascii="黑体" w:eastAsia="黑体"/>
          <w:b/>
          <w:sz w:val="32"/>
        </w:rPr>
      </w:pPr>
      <w:r>
        <w:rPr>
          <w:rFonts w:ascii="黑体" w:eastAsia="黑体" w:hint="eastAsia"/>
          <w:b/>
          <w:sz w:val="32"/>
        </w:rPr>
        <w:t> </w:t>
      </w:r>
      <w:r>
        <w:rPr>
          <w:rFonts w:ascii="黑体" w:eastAsia="黑体" w:hint="eastAsia"/>
          <w:b/>
          <w:sz w:val="32"/>
        </w:rPr>
        <w:t>九、政府性基金预算财政拨款支出决算情况说明</w:t>
      </w:r>
    </w:p>
    <w:p w14:paraId="69CF9C84" w14:textId="77777777" w:rsidR="00B7661C" w:rsidRDefault="00AC1E27">
      <w:pPr>
        <w:widowControl/>
        <w:spacing w:before="240" w:after="240"/>
        <w:rPr>
          <w:rFonts w:eastAsia="Times New Roman"/>
          <w:kern w:val="0"/>
          <w:sz w:val="24"/>
        </w:rPr>
      </w:pPr>
      <w:r>
        <w:rPr>
          <w:rFonts w:ascii="fang_song_gb2312" w:eastAsia="fang_song_gb2312" w:hAnsi="fang_song_gb2312" w:cs="fang_song_gb2312"/>
          <w:kern w:val="0"/>
          <w:sz w:val="27"/>
          <w:szCs w:val="27"/>
        </w:rPr>
        <w:t xml:space="preserve">    </w:t>
      </w:r>
      <w:r>
        <w:rPr>
          <w:rFonts w:ascii="fang_song_gb2312" w:hAnsi="fang_song_gb2312" w:cs="fang_song_gb2312" w:hint="eastAsia"/>
          <w:kern w:val="0"/>
          <w:sz w:val="27"/>
          <w:szCs w:val="27"/>
        </w:rPr>
        <w:t xml:space="preserve"> </w:t>
      </w:r>
      <w:r>
        <w:rPr>
          <w:rFonts w:ascii="仿宋_GB2312" w:eastAsia="仿宋_GB2312" w:hint="eastAsia"/>
          <w:sz w:val="32"/>
        </w:rPr>
        <w:t>包头市电子商务促进中心 2023年度政府性基金预算财政拨款支出决算0.00万元。与上年决算相比，增加0.00万元，增长0.00%，变动原因：本年无政府性基金预算财政拨款收、支、余。</w:t>
      </w:r>
    </w:p>
    <w:p w14:paraId="5CB46159" w14:textId="77777777" w:rsidR="00B7661C" w:rsidRDefault="00AC1E27">
      <w:pPr>
        <w:widowControl/>
        <w:spacing w:before="240" w:after="240"/>
        <w:jc w:val="left"/>
        <w:rPr>
          <w:rFonts w:eastAsia="Times New Roman"/>
          <w:kern w:val="0"/>
          <w:sz w:val="24"/>
        </w:rPr>
      </w:pPr>
      <w:r>
        <w:rPr>
          <w:rFonts w:ascii="Calibri" w:eastAsia="Calibri" w:hAnsi="Calibri" w:cs="Calibri"/>
          <w:b/>
          <w:bCs/>
          <w:kern w:val="0"/>
          <w:sz w:val="27"/>
          <w:szCs w:val="27"/>
        </w:rPr>
        <w:t> </w:t>
      </w:r>
      <w:r>
        <w:rPr>
          <w:rFonts w:ascii="黑体" w:eastAsia="黑体" w:hAnsi="黑体" w:cs="黑体"/>
          <w:b/>
          <w:bCs/>
          <w:kern w:val="0"/>
          <w:sz w:val="27"/>
          <w:szCs w:val="27"/>
        </w:rPr>
        <w:t xml:space="preserve"> </w:t>
      </w:r>
      <w:r>
        <w:rPr>
          <w:rFonts w:ascii="Calibri" w:eastAsia="Calibri" w:hAnsi="Calibri" w:cs="Calibri"/>
          <w:b/>
          <w:bCs/>
          <w:kern w:val="0"/>
          <w:sz w:val="27"/>
          <w:szCs w:val="27"/>
        </w:rPr>
        <w:t> </w:t>
      </w:r>
      <w:r>
        <w:rPr>
          <w:rFonts w:ascii="Calibri" w:hAnsi="Calibri" w:cs="Calibri" w:hint="eastAsia"/>
          <w:b/>
          <w:bCs/>
          <w:kern w:val="0"/>
          <w:sz w:val="27"/>
          <w:szCs w:val="27"/>
        </w:rPr>
        <w:t xml:space="preserve">   </w:t>
      </w:r>
      <w:r>
        <w:rPr>
          <w:rFonts w:ascii="黑体" w:eastAsia="黑体" w:hint="eastAsia"/>
          <w:b/>
          <w:sz w:val="32"/>
        </w:rPr>
        <w:t>十、国有资本经营预算财政拨款支出决算情况说明</w:t>
      </w:r>
    </w:p>
    <w:p w14:paraId="0F0774AB" w14:textId="77777777" w:rsidR="00B7661C" w:rsidRDefault="00AC1E27">
      <w:pPr>
        <w:widowControl/>
        <w:spacing w:before="240" w:after="240"/>
        <w:rPr>
          <w:rFonts w:ascii="仿宋_GB2312" w:eastAsia="仿宋_GB2312"/>
          <w:sz w:val="32"/>
        </w:rPr>
      </w:pPr>
      <w:r>
        <w:rPr>
          <w:rFonts w:ascii="fang_song_gb2312" w:eastAsia="fang_song_gb2312" w:hAnsi="fang_song_gb2312" w:cs="fang_song_gb2312"/>
          <w:color w:val="0E00FE"/>
          <w:kern w:val="0"/>
          <w:sz w:val="27"/>
          <w:szCs w:val="27"/>
        </w:rPr>
        <w:lastRenderedPageBreak/>
        <w:t> </w:t>
      </w:r>
      <w:r>
        <w:rPr>
          <w:rFonts w:ascii="fang_song_gb2312" w:eastAsia="fang_song_gb2312" w:hAnsi="fang_song_gb2312" w:cs="fang_song_gb2312"/>
          <w:kern w:val="0"/>
          <w:sz w:val="27"/>
          <w:szCs w:val="27"/>
        </w:rPr>
        <w:t xml:space="preserve">  </w:t>
      </w:r>
      <w:r>
        <w:rPr>
          <w:rFonts w:ascii="仿宋_GB2312" w:eastAsia="仿宋_GB2312" w:hint="eastAsia"/>
          <w:sz w:val="32"/>
        </w:rPr>
        <w:t> </w:t>
      </w:r>
      <w:r>
        <w:rPr>
          <w:rFonts w:ascii="仿宋_GB2312" w:eastAsia="仿宋_GB2312" w:hint="eastAsia"/>
          <w:sz w:val="32"/>
        </w:rPr>
        <w:t xml:space="preserve"> 包头市电子商务促进中心 2023年度国有资本经营预算财政拨款支出决算 0.00万元。与上年决算相比，增加0.00万元，增长0.00%，变动原因：本年无国有资本经营预算财政拨款收、支、余。</w:t>
      </w:r>
    </w:p>
    <w:p w14:paraId="2C1375BA" w14:textId="77777777" w:rsidR="00B7661C" w:rsidRDefault="00AC1E27">
      <w:pPr>
        <w:widowControl/>
        <w:spacing w:before="240" w:after="240"/>
        <w:rPr>
          <w:rFonts w:eastAsia="Times New Roman"/>
          <w:kern w:val="0"/>
          <w:sz w:val="24"/>
        </w:rPr>
      </w:pPr>
      <w:r>
        <w:rPr>
          <w:rFonts w:ascii="Calibri" w:eastAsia="Calibri" w:hAnsi="Calibri" w:cs="Calibri"/>
          <w:b/>
          <w:bCs/>
          <w:kern w:val="0"/>
          <w:sz w:val="27"/>
          <w:szCs w:val="27"/>
        </w:rPr>
        <w:t> </w:t>
      </w:r>
      <w:r>
        <w:rPr>
          <w:rFonts w:ascii="黑体" w:eastAsia="黑体" w:hAnsi="黑体" w:cs="黑体"/>
          <w:b/>
          <w:bCs/>
          <w:kern w:val="0"/>
          <w:sz w:val="27"/>
          <w:szCs w:val="27"/>
        </w:rPr>
        <w:t xml:space="preserve"> </w:t>
      </w:r>
      <w:r>
        <w:rPr>
          <w:rFonts w:ascii="黑体" w:eastAsia="黑体" w:hint="eastAsia"/>
          <w:b/>
          <w:sz w:val="32"/>
        </w:rPr>
        <w:t> </w:t>
      </w:r>
      <w:r>
        <w:rPr>
          <w:rFonts w:ascii="黑体" w:eastAsia="黑体" w:hint="eastAsia"/>
          <w:b/>
          <w:sz w:val="32"/>
        </w:rPr>
        <w:t xml:space="preserve">   十一、机构运行经费支出决算情况说明</w:t>
      </w:r>
    </w:p>
    <w:p w14:paraId="01981D7E" w14:textId="77777777" w:rsidR="00B7661C" w:rsidRDefault="00AC1E27">
      <w:pPr>
        <w:widowControl/>
        <w:spacing w:before="240" w:after="240"/>
        <w:rPr>
          <w:rFonts w:ascii="仿宋_GB2312" w:eastAsia="仿宋_GB2312"/>
          <w:sz w:val="32"/>
        </w:rPr>
      </w:pPr>
      <w:r>
        <w:rPr>
          <w:rFonts w:ascii="fang_song_gb2312" w:eastAsia="fang_song_gb2312" w:hAnsi="fang_song_gb2312" w:cs="fang_song_gb2312"/>
          <w:kern w:val="0"/>
          <w:sz w:val="27"/>
          <w:szCs w:val="27"/>
        </w:rPr>
        <w:t xml:space="preserve">    </w:t>
      </w:r>
      <w:r>
        <w:rPr>
          <w:rFonts w:ascii="fang_song_gb2312" w:hAnsi="fang_song_gb2312" w:cs="fang_song_gb2312" w:hint="eastAsia"/>
          <w:kern w:val="0"/>
          <w:sz w:val="27"/>
          <w:szCs w:val="27"/>
        </w:rPr>
        <w:t xml:space="preserve"> </w:t>
      </w:r>
      <w:r>
        <w:rPr>
          <w:rFonts w:ascii="仿宋_GB2312" w:eastAsia="仿宋_GB2312" w:hint="eastAsia"/>
          <w:sz w:val="32"/>
        </w:rPr>
        <w:t>包头市电子商务促进中心 2023年度机构运行经费支出决算 9.51万元。比上年决算相比，减少0.21万元，减少2.19%，变动原因：厉行勤俭节约，严格控制经费支出。</w:t>
      </w:r>
    </w:p>
    <w:p w14:paraId="43B011BC" w14:textId="77777777" w:rsidR="00B7661C" w:rsidRDefault="00AC1E27">
      <w:pPr>
        <w:autoSpaceDE w:val="0"/>
        <w:autoSpaceDN w:val="0"/>
        <w:adjustRightInd w:val="0"/>
        <w:spacing w:line="600" w:lineRule="exact"/>
        <w:ind w:firstLineChars="200" w:firstLine="643"/>
        <w:rPr>
          <w:rFonts w:ascii="黑体" w:eastAsia="黑体"/>
          <w:b/>
          <w:sz w:val="32"/>
        </w:rPr>
      </w:pPr>
      <w:r>
        <w:rPr>
          <w:rFonts w:ascii="黑体" w:eastAsia="黑体" w:hint="eastAsia"/>
          <w:b/>
          <w:sz w:val="32"/>
        </w:rPr>
        <w:t>十二、政府采购支出决算情况说明</w:t>
      </w:r>
    </w:p>
    <w:p w14:paraId="54A54485" w14:textId="40440E25" w:rsidR="00B7661C" w:rsidRDefault="00AC1E27">
      <w:pPr>
        <w:widowControl/>
        <w:spacing w:before="240" w:after="240"/>
        <w:rPr>
          <w:rFonts w:ascii="仿宋_GB2312" w:eastAsia="仿宋_GB2312"/>
          <w:sz w:val="32"/>
        </w:rPr>
      </w:pPr>
      <w:r>
        <w:rPr>
          <w:rFonts w:ascii="fang_song_gb2312" w:eastAsia="fang_song_gb2312" w:hAnsi="fang_song_gb2312" w:cs="fang_song_gb2312"/>
          <w:kern w:val="0"/>
          <w:sz w:val="27"/>
          <w:szCs w:val="27"/>
        </w:rPr>
        <w:t xml:space="preserve">    </w:t>
      </w:r>
      <w:r>
        <w:rPr>
          <w:rFonts w:ascii="fang_song_gb2312" w:hAnsi="fang_song_gb2312" w:cs="fang_song_gb2312" w:hint="eastAsia"/>
          <w:kern w:val="0"/>
          <w:sz w:val="27"/>
          <w:szCs w:val="27"/>
        </w:rPr>
        <w:t xml:space="preserve"> </w:t>
      </w:r>
      <w:r>
        <w:rPr>
          <w:rFonts w:ascii="仿宋_GB2312" w:eastAsia="仿宋_GB2312" w:hint="eastAsia"/>
          <w:sz w:val="32"/>
        </w:rPr>
        <w:t>包头市电子商务促进中心 2023年度政府采购支出总额 1.58万元，其中：政府采购货物支出 0.12万元、政府采购工程支出 0.00万元、政府采购服务支出 1.4</w:t>
      </w:r>
      <w:r w:rsidR="005E77EF">
        <w:rPr>
          <w:rFonts w:ascii="仿宋_GB2312" w:eastAsia="仿宋_GB2312" w:hint="eastAsia"/>
          <w:sz w:val="32"/>
        </w:rPr>
        <w:t>7</w:t>
      </w:r>
      <w:r>
        <w:rPr>
          <w:rFonts w:ascii="仿宋_GB2312" w:eastAsia="仿宋_GB2312" w:hint="eastAsia"/>
          <w:sz w:val="32"/>
        </w:rPr>
        <w:t>万元。政府采购授予中小企业合同金额 0.00万元，占政府采购支出总额的0.00%，其中：授予小</w:t>
      </w:r>
      <w:proofErr w:type="gramStart"/>
      <w:r>
        <w:rPr>
          <w:rFonts w:ascii="仿宋_GB2312" w:eastAsia="仿宋_GB2312" w:hint="eastAsia"/>
          <w:sz w:val="32"/>
        </w:rPr>
        <w:t>微企业</w:t>
      </w:r>
      <w:proofErr w:type="gramEnd"/>
      <w:r>
        <w:rPr>
          <w:rFonts w:ascii="仿宋_GB2312" w:eastAsia="仿宋_GB2312" w:hint="eastAsia"/>
          <w:sz w:val="32"/>
        </w:rPr>
        <w:t>合同金额0.00万元，占政府采购支出总额的0.00%；货物采购授予中小企业合同金额占货物支出金额的0.00%，工程采购授予中小企业合同金额占工程支出金额的0.00%，服务采购授予中小企业合同金额占服务支出金额的0.00%。</w:t>
      </w:r>
    </w:p>
    <w:p w14:paraId="634284D8" w14:textId="77777777" w:rsidR="00B7661C" w:rsidRDefault="00AC1E27">
      <w:pPr>
        <w:autoSpaceDE w:val="0"/>
        <w:autoSpaceDN w:val="0"/>
        <w:adjustRightInd w:val="0"/>
        <w:spacing w:line="600" w:lineRule="exact"/>
        <w:ind w:firstLineChars="200" w:firstLine="643"/>
        <w:rPr>
          <w:rFonts w:ascii="黑体" w:eastAsia="黑体"/>
          <w:b/>
          <w:sz w:val="32"/>
        </w:rPr>
      </w:pPr>
      <w:r>
        <w:rPr>
          <w:rFonts w:ascii="黑体" w:eastAsia="黑体" w:hint="eastAsia"/>
          <w:b/>
          <w:sz w:val="32"/>
        </w:rPr>
        <w:t>十三、国有资产占用情况说明</w:t>
      </w:r>
    </w:p>
    <w:p w14:paraId="09EF4D34" w14:textId="77777777" w:rsidR="00B7661C" w:rsidRDefault="00AC1E27">
      <w:pPr>
        <w:widowControl/>
        <w:spacing w:before="240" w:after="240"/>
        <w:rPr>
          <w:rFonts w:eastAsia="Times New Roman"/>
          <w:kern w:val="0"/>
          <w:sz w:val="24"/>
        </w:rPr>
      </w:pPr>
      <w:r>
        <w:rPr>
          <w:rFonts w:ascii="fang_song_gb2312" w:eastAsia="fang_song_gb2312" w:hAnsi="fang_song_gb2312" w:cs="fang_song_gb2312"/>
          <w:kern w:val="0"/>
          <w:sz w:val="27"/>
          <w:szCs w:val="27"/>
        </w:rPr>
        <w:t xml:space="preserve">    </w:t>
      </w:r>
      <w:r>
        <w:rPr>
          <w:rFonts w:ascii="fang_song_gb2312" w:hAnsi="fang_song_gb2312" w:cs="fang_song_gb2312" w:hint="eastAsia"/>
          <w:kern w:val="0"/>
          <w:sz w:val="27"/>
          <w:szCs w:val="27"/>
        </w:rPr>
        <w:t xml:space="preserve"> </w:t>
      </w:r>
      <w:r>
        <w:rPr>
          <w:rFonts w:ascii="仿宋_GB2312" w:eastAsia="仿宋_GB2312" w:hint="eastAsia"/>
          <w:sz w:val="32"/>
        </w:rPr>
        <w:t>包头市电子商务促进中心截至2023年12月31日，本单位共有车辆1辆，其中：副部（省）级及以上领导用车0 辆、主要负责人用车 0辆、机要通信用车1辆、应急保障用车 0辆、执法执勤用车 0辆、特</w:t>
      </w:r>
      <w:r>
        <w:rPr>
          <w:rFonts w:ascii="仿宋_GB2312" w:eastAsia="仿宋_GB2312" w:hint="eastAsia"/>
          <w:sz w:val="32"/>
        </w:rPr>
        <w:lastRenderedPageBreak/>
        <w:t>种专业技术用车 0辆、离退休干部服务用车 0辆，其他用车 0辆；单价100万元（含）以上的设备（不含车辆） 0台（套）。</w:t>
      </w:r>
    </w:p>
    <w:p w14:paraId="3C718B99" w14:textId="77777777" w:rsidR="00B7661C" w:rsidRDefault="00AC1E27">
      <w:pPr>
        <w:autoSpaceDE w:val="0"/>
        <w:autoSpaceDN w:val="0"/>
        <w:adjustRightInd w:val="0"/>
        <w:spacing w:line="600" w:lineRule="exact"/>
        <w:ind w:left="424" w:firstLine="212"/>
        <w:rPr>
          <w:rFonts w:ascii="黑体" w:eastAsia="黑体"/>
          <w:b/>
          <w:sz w:val="32"/>
        </w:rPr>
      </w:pPr>
      <w:r>
        <w:rPr>
          <w:rFonts w:ascii="黑体" w:eastAsia="黑体" w:hint="eastAsia"/>
          <w:b/>
          <w:sz w:val="32"/>
        </w:rPr>
        <w:t>十四、预算绩效情况说明</w:t>
      </w:r>
    </w:p>
    <w:p w14:paraId="6B053FE6" w14:textId="77777777" w:rsidR="00B7661C" w:rsidRDefault="00AC1E27">
      <w:pPr>
        <w:widowControl/>
        <w:spacing w:before="240" w:after="240"/>
        <w:jc w:val="left"/>
        <w:rPr>
          <w:rFonts w:eastAsia="Times New Roman"/>
          <w:kern w:val="0"/>
          <w:sz w:val="24"/>
        </w:rPr>
      </w:pPr>
      <w:r>
        <w:rPr>
          <w:rFonts w:ascii="kai_ti_gb2312" w:eastAsia="kai_ti_gb2312" w:hAnsi="kai_ti_gb2312" w:cs="kai_ti_gb2312"/>
          <w:b/>
          <w:bCs/>
          <w:kern w:val="0"/>
          <w:sz w:val="27"/>
          <w:szCs w:val="27"/>
        </w:rPr>
        <w:t>   </w:t>
      </w:r>
      <w:r>
        <w:rPr>
          <w:rFonts w:ascii="楷体" w:eastAsia="楷体" w:hint="eastAsia"/>
          <w:b/>
          <w:sz w:val="32"/>
        </w:rPr>
        <w:t xml:space="preserve"> （一）预算绩效管理工作开展情况。</w:t>
      </w:r>
    </w:p>
    <w:p w14:paraId="43715A28" w14:textId="5100E2AA" w:rsidR="00B7661C" w:rsidRDefault="00AC1E27">
      <w:pPr>
        <w:widowControl/>
        <w:spacing w:before="240" w:after="240"/>
        <w:rPr>
          <w:kern w:val="0"/>
          <w:sz w:val="24"/>
        </w:rPr>
      </w:pPr>
      <w:r>
        <w:rPr>
          <w:rFonts w:ascii="fang_song_gb2312" w:eastAsia="fang_song_gb2312" w:hAnsi="fang_song_gb2312" w:cs="fang_song_gb2312"/>
          <w:kern w:val="0"/>
          <w:sz w:val="27"/>
          <w:szCs w:val="27"/>
        </w:rPr>
        <w:t xml:space="preserve">    </w:t>
      </w:r>
      <w:r>
        <w:rPr>
          <w:rFonts w:ascii="仿宋_GB2312" w:eastAsia="仿宋_GB2312" w:hint="eastAsia"/>
          <w:sz w:val="32"/>
        </w:rPr>
        <w:t>包头市电子商务促进中心根据预算绩效管理要求组织对2023年一般公共预算项目支出全面开展绩效自评，其中一级项目0个，二级项目0个，共涉及资金0.00万元，占一般公共预算项目支出总额的</w:t>
      </w:r>
      <w:r w:rsidR="00B9042C">
        <w:rPr>
          <w:rFonts w:ascii="仿宋_GB2312" w:eastAsia="仿宋_GB2312" w:hint="eastAsia"/>
          <w:sz w:val="32"/>
        </w:rPr>
        <w:t>0</w:t>
      </w:r>
      <w:r>
        <w:rPr>
          <w:rFonts w:ascii="仿宋_GB2312" w:eastAsia="仿宋_GB2312" w:hint="eastAsia"/>
          <w:sz w:val="32"/>
        </w:rPr>
        <w:t>.00%；政府性基金预算项目0个，其中，一级项目0个，二级项目0个，共涉及资金0万元，占应纳入绩效自评的政府性基金预算项目支出总额的</w:t>
      </w:r>
      <w:r w:rsidR="00B9042C">
        <w:rPr>
          <w:rFonts w:ascii="仿宋_GB2312" w:eastAsia="仿宋_GB2312" w:hint="eastAsia"/>
          <w:sz w:val="32"/>
        </w:rPr>
        <w:t>0</w:t>
      </w:r>
      <w:r>
        <w:rPr>
          <w:rFonts w:ascii="仿宋_GB2312" w:eastAsia="仿宋_GB2312" w:hint="eastAsia"/>
          <w:sz w:val="32"/>
        </w:rPr>
        <w:t>.00%。</w:t>
      </w:r>
    </w:p>
    <w:p w14:paraId="6E9C9741" w14:textId="77777777" w:rsidR="00B7661C" w:rsidRDefault="00AC1E27">
      <w:pPr>
        <w:widowControl/>
        <w:spacing w:before="240" w:after="240"/>
        <w:jc w:val="left"/>
        <w:rPr>
          <w:rFonts w:eastAsia="Times New Roman"/>
          <w:kern w:val="0"/>
          <w:sz w:val="24"/>
        </w:rPr>
      </w:pPr>
      <w:r>
        <w:rPr>
          <w:rFonts w:ascii="kai_ti_gb2312" w:eastAsia="kai_ti_gb2312" w:hAnsi="kai_ti_gb2312" w:cs="kai_ti_gb2312"/>
          <w:b/>
          <w:bCs/>
          <w:kern w:val="0"/>
          <w:sz w:val="27"/>
          <w:szCs w:val="27"/>
        </w:rPr>
        <w:t xml:space="preserve">  </w:t>
      </w:r>
      <w:r>
        <w:rPr>
          <w:rFonts w:ascii="楷体" w:eastAsia="楷体" w:hint="eastAsia"/>
          <w:b/>
          <w:sz w:val="32"/>
        </w:rPr>
        <w:t> </w:t>
      </w:r>
      <w:r>
        <w:rPr>
          <w:rFonts w:ascii="楷体" w:eastAsia="楷体" w:hint="eastAsia"/>
          <w:b/>
          <w:sz w:val="32"/>
        </w:rPr>
        <w:t xml:space="preserve"> （二）单位决算</w:t>
      </w:r>
      <w:proofErr w:type="gramStart"/>
      <w:r>
        <w:rPr>
          <w:rFonts w:ascii="楷体" w:eastAsia="楷体" w:hint="eastAsia"/>
          <w:b/>
          <w:sz w:val="32"/>
        </w:rPr>
        <w:t>中项目</w:t>
      </w:r>
      <w:proofErr w:type="gramEnd"/>
      <w:r>
        <w:rPr>
          <w:rFonts w:ascii="楷体" w:eastAsia="楷体" w:hint="eastAsia"/>
          <w:b/>
          <w:sz w:val="32"/>
        </w:rPr>
        <w:t>绩效自评结果。</w:t>
      </w:r>
    </w:p>
    <w:p w14:paraId="086399F1" w14:textId="77777777" w:rsidR="00B7661C" w:rsidRDefault="00AC1E27">
      <w:pPr>
        <w:widowControl/>
        <w:spacing w:before="240" w:after="240"/>
        <w:rPr>
          <w:rFonts w:eastAsia="Times New Roman"/>
          <w:kern w:val="0"/>
          <w:sz w:val="24"/>
        </w:rPr>
      </w:pPr>
      <w:r>
        <w:rPr>
          <w:rFonts w:ascii="fang_song_gb2312" w:eastAsia="fang_song_gb2312" w:hAnsi="fang_song_gb2312" w:cs="fang_song_gb2312"/>
          <w:kern w:val="0"/>
          <w:sz w:val="27"/>
          <w:szCs w:val="27"/>
        </w:rPr>
        <w:t xml:space="preserve">    </w:t>
      </w:r>
      <w:r>
        <w:rPr>
          <w:rFonts w:ascii="fang_song_gb2312" w:hAnsi="fang_song_gb2312" w:cs="fang_song_gb2312" w:hint="eastAsia"/>
          <w:kern w:val="0"/>
          <w:sz w:val="27"/>
          <w:szCs w:val="27"/>
        </w:rPr>
        <w:t xml:space="preserve"> </w:t>
      </w:r>
      <w:r>
        <w:rPr>
          <w:rFonts w:ascii="仿宋_GB2312" w:eastAsia="仿宋_GB2312" w:hint="eastAsia"/>
          <w:sz w:val="32"/>
        </w:rPr>
        <w:t>包头市电子商务促进中心 2023年度在决算中反映0个一般公共预算项目，以及0个政府性基金项目，共0个项目的绩效自评结果。</w:t>
      </w:r>
    </w:p>
    <w:p w14:paraId="701579CE" w14:textId="77777777" w:rsidR="00B7661C" w:rsidRDefault="00AC1E27">
      <w:pPr>
        <w:widowControl/>
        <w:spacing w:before="240" w:after="240"/>
        <w:jc w:val="left"/>
        <w:rPr>
          <w:rFonts w:eastAsia="Times New Roman"/>
          <w:kern w:val="0"/>
          <w:sz w:val="24"/>
        </w:rPr>
      </w:pPr>
      <w:r>
        <w:rPr>
          <w:rFonts w:ascii="kai_ti_gb2312" w:eastAsia="kai_ti_gb2312" w:hAnsi="kai_ti_gb2312" w:cs="kai_ti_gb2312"/>
          <w:b/>
          <w:bCs/>
          <w:kern w:val="0"/>
          <w:sz w:val="27"/>
          <w:szCs w:val="27"/>
        </w:rPr>
        <w:t>   </w:t>
      </w:r>
      <w:r>
        <w:rPr>
          <w:rFonts w:ascii="楷体" w:eastAsia="楷体" w:hint="eastAsia"/>
          <w:b/>
          <w:sz w:val="32"/>
        </w:rPr>
        <w:t xml:space="preserve"> （三）单位项目绩效评价结果。</w:t>
      </w:r>
    </w:p>
    <w:p w14:paraId="02EECA14" w14:textId="77777777" w:rsidR="00B7661C" w:rsidRDefault="00AC1E27">
      <w:pPr>
        <w:widowControl/>
        <w:spacing w:before="240" w:after="240"/>
        <w:rPr>
          <w:rFonts w:ascii="fang_song_gb2312" w:eastAsia="仿宋_GB2312" w:hAnsi="fang_song_gb2312" w:cs="fang_song_gb2312"/>
          <w:kern w:val="0"/>
          <w:sz w:val="27"/>
          <w:szCs w:val="27"/>
        </w:rPr>
      </w:pPr>
      <w:r>
        <w:rPr>
          <w:rFonts w:ascii="fang_song_gb2312" w:eastAsia="fang_song_gb2312" w:hAnsi="fang_song_gb2312" w:cs="fang_song_gb2312"/>
          <w:kern w:val="0"/>
          <w:sz w:val="27"/>
          <w:szCs w:val="27"/>
        </w:rPr>
        <w:t xml:space="preserve">  </w:t>
      </w:r>
      <w:r>
        <w:rPr>
          <w:rFonts w:ascii="仿宋_GB2312" w:eastAsia="仿宋_GB2312" w:hint="eastAsia"/>
          <w:sz w:val="32"/>
        </w:rPr>
        <w:t> </w:t>
      </w:r>
      <w:r>
        <w:rPr>
          <w:rFonts w:ascii="仿宋_GB2312" w:eastAsia="仿宋_GB2312" w:hint="eastAsia"/>
          <w:sz w:val="32"/>
        </w:rPr>
        <w:t xml:space="preserve">  本单位无重点项目绩效评价。</w:t>
      </w:r>
    </w:p>
    <w:p w14:paraId="1DCB06A8" w14:textId="77777777" w:rsidR="00B7661C" w:rsidRDefault="00B7661C">
      <w:pPr>
        <w:widowControl/>
        <w:spacing w:before="240" w:after="240"/>
        <w:jc w:val="left"/>
        <w:rPr>
          <w:rFonts w:eastAsia="Times New Roman"/>
          <w:kern w:val="0"/>
          <w:sz w:val="24"/>
        </w:rPr>
      </w:pPr>
    </w:p>
    <w:p w14:paraId="10CB2704" w14:textId="77777777" w:rsidR="00B7661C" w:rsidRDefault="00AC1E27">
      <w:pPr>
        <w:pStyle w:val="2"/>
        <w:keepNext w:val="0"/>
        <w:keepLines w:val="0"/>
        <w:widowControl/>
        <w:spacing w:before="299" w:after="299" w:line="240" w:lineRule="auto"/>
        <w:jc w:val="center"/>
        <w:rPr>
          <w:rFonts w:ascii="方正小标宋简体" w:eastAsia="方正小标宋简体" w:hAnsi="Times New Roman"/>
          <w:b w:val="0"/>
          <w:bCs w:val="0"/>
          <w:sz w:val="36"/>
          <w:szCs w:val="24"/>
        </w:rPr>
      </w:pPr>
      <w:r>
        <w:rPr>
          <w:rFonts w:ascii="方正小标宋简体" w:eastAsia="方正小标宋简体" w:hAnsi="Times New Roman" w:hint="eastAsia"/>
          <w:b w:val="0"/>
          <w:bCs w:val="0"/>
          <w:sz w:val="36"/>
          <w:szCs w:val="24"/>
        </w:rPr>
        <w:t xml:space="preserve">第三部分 </w:t>
      </w:r>
      <w:r>
        <w:rPr>
          <w:rFonts w:ascii="方正小标宋简体" w:eastAsia="方正小标宋简体" w:hAnsi="Times New Roman" w:hint="eastAsia"/>
          <w:b w:val="0"/>
          <w:bCs w:val="0"/>
          <w:sz w:val="36"/>
          <w:szCs w:val="24"/>
        </w:rPr>
        <w:t> </w:t>
      </w:r>
      <w:r>
        <w:rPr>
          <w:rFonts w:ascii="方正小标宋简体" w:eastAsia="方正小标宋简体" w:hAnsi="Times New Roman" w:hint="eastAsia"/>
          <w:b w:val="0"/>
          <w:bCs w:val="0"/>
          <w:sz w:val="36"/>
          <w:szCs w:val="24"/>
        </w:rPr>
        <w:t>名词解释</w:t>
      </w:r>
    </w:p>
    <w:p w14:paraId="5CA46F9C" w14:textId="77777777" w:rsidR="00B7661C" w:rsidRDefault="00AC1E27">
      <w:pPr>
        <w:widowControl/>
        <w:spacing w:before="240" w:after="240"/>
        <w:rPr>
          <w:rFonts w:ascii="仿宋_GB2312" w:eastAsia="仿宋_GB2312"/>
          <w:sz w:val="32"/>
        </w:rPr>
      </w:pPr>
      <w:r>
        <w:rPr>
          <w:rFonts w:ascii="fang_song_gb2312" w:eastAsia="fang_song_gb2312" w:hAnsi="fang_song_gb2312" w:cs="fang_song_gb2312"/>
          <w:b/>
          <w:bCs/>
          <w:kern w:val="0"/>
          <w:sz w:val="27"/>
          <w:szCs w:val="27"/>
        </w:rPr>
        <w:lastRenderedPageBreak/>
        <w:t xml:space="preserve">  </w:t>
      </w:r>
      <w:r>
        <w:rPr>
          <w:rFonts w:ascii="仿宋_GB2312" w:eastAsia="仿宋_GB2312" w:hint="eastAsia"/>
          <w:sz w:val="32"/>
        </w:rPr>
        <w:t> </w:t>
      </w:r>
      <w:r>
        <w:rPr>
          <w:rFonts w:ascii="仿宋_GB2312" w:eastAsia="仿宋_GB2312" w:hint="eastAsia"/>
          <w:sz w:val="32"/>
        </w:rPr>
        <w:t xml:space="preserve">  一、财政拨款收入：从同级财政部门取得的各</w:t>
      </w:r>
      <w:proofErr w:type="gramStart"/>
      <w:r>
        <w:rPr>
          <w:rFonts w:ascii="仿宋_GB2312" w:eastAsia="仿宋_GB2312" w:hint="eastAsia"/>
          <w:sz w:val="32"/>
        </w:rPr>
        <w:t>类财政</w:t>
      </w:r>
      <w:proofErr w:type="gramEnd"/>
      <w:r>
        <w:rPr>
          <w:rFonts w:ascii="仿宋_GB2312" w:eastAsia="仿宋_GB2312" w:hint="eastAsia"/>
          <w:sz w:val="32"/>
        </w:rPr>
        <w:t>拨款，包括一般公共预算财政拨款、政府性基金预算财政拨款、国有资本经营预算财政拨款。</w:t>
      </w:r>
    </w:p>
    <w:p w14:paraId="2B5AA57D" w14:textId="77777777" w:rsidR="00B7661C" w:rsidRDefault="00AC1E27">
      <w:pPr>
        <w:widowControl/>
        <w:spacing w:before="240" w:after="240"/>
        <w:rPr>
          <w:rFonts w:ascii="仿宋_GB2312" w:eastAsia="仿宋_GB2312"/>
          <w:sz w:val="32"/>
        </w:rPr>
      </w:pPr>
      <w:r>
        <w:rPr>
          <w:rFonts w:ascii="仿宋_GB2312" w:eastAsia="仿宋_GB2312" w:hint="eastAsia"/>
          <w:sz w:val="32"/>
        </w:rPr>
        <w:t> </w:t>
      </w:r>
      <w:r>
        <w:rPr>
          <w:rFonts w:ascii="仿宋_GB2312" w:eastAsia="仿宋_GB2312" w:hint="eastAsia"/>
          <w:sz w:val="32"/>
        </w:rPr>
        <w:t xml:space="preserve"> </w:t>
      </w:r>
      <w:r>
        <w:rPr>
          <w:rFonts w:ascii="仿宋_GB2312" w:eastAsia="仿宋_GB2312" w:hint="eastAsia"/>
          <w:sz w:val="32"/>
        </w:rPr>
        <w:t> </w:t>
      </w:r>
      <w:r>
        <w:rPr>
          <w:rFonts w:ascii="仿宋_GB2312" w:eastAsia="仿宋_GB2312" w:hint="eastAsia"/>
          <w:sz w:val="32"/>
        </w:rPr>
        <w:t xml:space="preserve">  二、其他收入：取得的除上述“财政拨款收入”、“上级补助收入”、“事业收入”、“经营收入”、“附属单位上缴收入”等以外的各项收入。</w:t>
      </w:r>
    </w:p>
    <w:p w14:paraId="4F8B82E0" w14:textId="77777777" w:rsidR="00B7661C" w:rsidRDefault="00AC1E27">
      <w:pPr>
        <w:widowControl/>
        <w:spacing w:before="240" w:after="240"/>
        <w:rPr>
          <w:rFonts w:ascii="仿宋_GB2312" w:eastAsia="仿宋_GB2312"/>
          <w:sz w:val="32"/>
        </w:rPr>
      </w:pPr>
      <w:r>
        <w:rPr>
          <w:rFonts w:ascii="仿宋_GB2312" w:eastAsia="仿宋_GB2312" w:hint="eastAsia"/>
          <w:sz w:val="32"/>
        </w:rPr>
        <w:t> </w:t>
      </w:r>
      <w:r>
        <w:rPr>
          <w:rFonts w:ascii="仿宋_GB2312" w:eastAsia="仿宋_GB2312" w:hint="eastAsia"/>
          <w:sz w:val="32"/>
        </w:rPr>
        <w:t xml:space="preserve"> </w:t>
      </w:r>
      <w:r>
        <w:rPr>
          <w:rFonts w:ascii="仿宋_GB2312" w:eastAsia="仿宋_GB2312" w:hint="eastAsia"/>
          <w:sz w:val="32"/>
        </w:rPr>
        <w:t>  </w:t>
      </w:r>
      <w:r>
        <w:rPr>
          <w:rFonts w:ascii="仿宋_GB2312" w:eastAsia="仿宋_GB2312" w:hint="eastAsia"/>
          <w:sz w:val="32"/>
        </w:rPr>
        <w:t xml:space="preserve">  三、年初结转和结余：指单位上年结转本年使用的基本支出结转、项目支出结转和结余、经营结余。</w:t>
      </w:r>
    </w:p>
    <w:p w14:paraId="3628BCBE" w14:textId="77777777" w:rsidR="00B7661C" w:rsidRDefault="00AC1E27">
      <w:pPr>
        <w:widowControl/>
        <w:spacing w:before="240" w:after="240"/>
        <w:rPr>
          <w:rFonts w:ascii="仿宋_GB2312" w:eastAsia="仿宋_GB2312"/>
          <w:sz w:val="32"/>
        </w:rPr>
      </w:pPr>
      <w:r>
        <w:rPr>
          <w:rFonts w:ascii="仿宋_GB2312" w:eastAsia="仿宋_GB2312" w:hint="eastAsia"/>
          <w:sz w:val="32"/>
        </w:rPr>
        <w:t> </w:t>
      </w:r>
      <w:r>
        <w:rPr>
          <w:rFonts w:ascii="仿宋_GB2312" w:eastAsia="仿宋_GB2312" w:hint="eastAsia"/>
          <w:sz w:val="32"/>
        </w:rPr>
        <w:t xml:space="preserve"> </w:t>
      </w:r>
      <w:r>
        <w:rPr>
          <w:rFonts w:ascii="仿宋_GB2312" w:eastAsia="仿宋_GB2312" w:hint="eastAsia"/>
          <w:sz w:val="32"/>
        </w:rPr>
        <w:t> </w:t>
      </w:r>
      <w:r>
        <w:rPr>
          <w:rFonts w:ascii="仿宋_GB2312" w:eastAsia="仿宋_GB2312" w:hint="eastAsia"/>
          <w:sz w:val="32"/>
        </w:rPr>
        <w:t xml:space="preserve"> </w:t>
      </w:r>
      <w:r>
        <w:rPr>
          <w:rFonts w:ascii="仿宋_GB2312" w:eastAsia="仿宋_GB2312" w:hint="eastAsia"/>
          <w:sz w:val="32"/>
        </w:rPr>
        <w:t> </w:t>
      </w:r>
      <w:r>
        <w:rPr>
          <w:rFonts w:ascii="仿宋_GB2312" w:eastAsia="仿宋_GB2312" w:hint="eastAsia"/>
          <w:sz w:val="32"/>
        </w:rPr>
        <w:t xml:space="preserve"> 四、年末结转和结余资金：指单位结转下年的基本支出结转、项目支出结转和结余、经营结余。</w:t>
      </w:r>
    </w:p>
    <w:p w14:paraId="53DD980B" w14:textId="77777777" w:rsidR="00B7661C" w:rsidRDefault="00AC1E27">
      <w:pPr>
        <w:widowControl/>
        <w:spacing w:before="240" w:after="240"/>
        <w:rPr>
          <w:rFonts w:ascii="仿宋_GB2312" w:eastAsia="仿宋_GB2312"/>
          <w:sz w:val="32"/>
        </w:rPr>
      </w:pPr>
      <w:r>
        <w:rPr>
          <w:rFonts w:ascii="仿宋_GB2312" w:eastAsia="仿宋_GB2312" w:hint="eastAsia"/>
          <w:sz w:val="32"/>
        </w:rPr>
        <w:t> </w:t>
      </w:r>
      <w:r>
        <w:rPr>
          <w:rFonts w:ascii="仿宋_GB2312" w:eastAsia="仿宋_GB2312" w:hint="eastAsia"/>
          <w:sz w:val="32"/>
        </w:rPr>
        <w:t xml:space="preserve"> </w:t>
      </w:r>
      <w:r>
        <w:rPr>
          <w:rFonts w:ascii="仿宋_GB2312" w:eastAsia="仿宋_GB2312" w:hint="eastAsia"/>
          <w:sz w:val="32"/>
        </w:rPr>
        <w:t> </w:t>
      </w:r>
      <w:r>
        <w:rPr>
          <w:rFonts w:ascii="仿宋_GB2312" w:eastAsia="仿宋_GB2312" w:hint="eastAsia"/>
          <w:sz w:val="32"/>
        </w:rPr>
        <w:t xml:space="preserve">  五、基本支出：指为保障机构正常运转、完成日常工作任务所发生的支出，包括人员经费和公用经费。</w:t>
      </w:r>
    </w:p>
    <w:p w14:paraId="771EC1B9" w14:textId="77777777" w:rsidR="00B7661C" w:rsidRDefault="00AC1E27">
      <w:pPr>
        <w:widowControl/>
        <w:spacing w:before="240" w:after="240"/>
        <w:rPr>
          <w:rFonts w:ascii="仿宋_GB2312" w:eastAsia="仿宋_GB2312"/>
          <w:sz w:val="32"/>
        </w:rPr>
      </w:pPr>
      <w:r>
        <w:rPr>
          <w:rFonts w:ascii="仿宋_GB2312" w:eastAsia="仿宋_GB2312" w:hint="eastAsia"/>
          <w:sz w:val="32"/>
        </w:rPr>
        <w:t> </w:t>
      </w:r>
      <w:r>
        <w:rPr>
          <w:rFonts w:ascii="仿宋_GB2312" w:eastAsia="仿宋_GB2312" w:hint="eastAsia"/>
          <w:sz w:val="32"/>
        </w:rPr>
        <w:t xml:space="preserve"> </w:t>
      </w:r>
      <w:r>
        <w:rPr>
          <w:rFonts w:ascii="仿宋_GB2312" w:eastAsia="仿宋_GB2312" w:hint="eastAsia"/>
          <w:sz w:val="32"/>
        </w:rPr>
        <w:t> </w:t>
      </w:r>
      <w:r>
        <w:rPr>
          <w:rFonts w:ascii="仿宋_GB2312" w:eastAsia="仿宋_GB2312" w:hint="eastAsia"/>
          <w:sz w:val="32"/>
        </w:rPr>
        <w:t xml:space="preserve">  六、项目支出：指在为完成特定的工作任务和事业发展目标所发生的支出。</w:t>
      </w:r>
    </w:p>
    <w:p w14:paraId="71FACD57" w14:textId="77777777" w:rsidR="00B7661C" w:rsidRDefault="00AC1E27">
      <w:pPr>
        <w:widowControl/>
        <w:spacing w:before="240" w:after="240"/>
        <w:rPr>
          <w:rFonts w:ascii="仿宋_GB2312" w:eastAsia="仿宋_GB2312"/>
          <w:sz w:val="32"/>
        </w:rPr>
      </w:pPr>
      <w:r>
        <w:rPr>
          <w:rFonts w:ascii="仿宋_GB2312" w:eastAsia="仿宋_GB2312" w:hint="eastAsia"/>
          <w:sz w:val="32"/>
        </w:rPr>
        <w:t> </w:t>
      </w:r>
      <w:r>
        <w:rPr>
          <w:rFonts w:ascii="仿宋_GB2312" w:eastAsia="仿宋_GB2312" w:hint="eastAsia"/>
          <w:sz w:val="32"/>
        </w:rPr>
        <w:t xml:space="preserve">   七、“三公”经费：指单位用财政拨款安排的因公出国（境）费、公务用车购置及运行维护费和公务接待费。其中，因公出国（境）</w:t>
      </w:r>
      <w:proofErr w:type="gramStart"/>
      <w:r>
        <w:rPr>
          <w:rFonts w:ascii="仿宋_GB2312" w:eastAsia="仿宋_GB2312" w:hint="eastAsia"/>
          <w:sz w:val="32"/>
        </w:rPr>
        <w:t>费反映</w:t>
      </w:r>
      <w:proofErr w:type="gramEnd"/>
      <w:r>
        <w:rPr>
          <w:rFonts w:ascii="仿宋_GB2312" w:eastAsia="仿宋_GB2312" w:hint="eastAsia"/>
          <w:sz w:val="32"/>
        </w:rPr>
        <w:t>部门（单位）)公务出国（境）的国际旅费、国外城市间交通费、住宿费、伙食费、培训费、公杂费等支出；公务用车购置及运行维护费反映部门（单位）公务用车购置支出（</w:t>
      </w:r>
      <w:proofErr w:type="gramStart"/>
      <w:r>
        <w:rPr>
          <w:rFonts w:ascii="仿宋_GB2312" w:eastAsia="仿宋_GB2312" w:hint="eastAsia"/>
          <w:sz w:val="32"/>
        </w:rPr>
        <w:t>含车辆</w:t>
      </w:r>
      <w:proofErr w:type="gramEnd"/>
      <w:r>
        <w:rPr>
          <w:rFonts w:ascii="仿宋_GB2312" w:eastAsia="仿宋_GB2312" w:hint="eastAsia"/>
          <w:sz w:val="32"/>
        </w:rPr>
        <w:t>购置税、牌照费）以及按规定保留的公务用车燃料费、维修费、过路过桥费、保险费、安</w:t>
      </w:r>
      <w:r>
        <w:rPr>
          <w:rFonts w:ascii="仿宋_GB2312" w:eastAsia="仿宋_GB2312" w:hint="eastAsia"/>
          <w:sz w:val="32"/>
        </w:rPr>
        <w:lastRenderedPageBreak/>
        <w:t>全奖励费用等支出；公务接待</w:t>
      </w:r>
      <w:proofErr w:type="gramStart"/>
      <w:r>
        <w:rPr>
          <w:rFonts w:ascii="仿宋_GB2312" w:eastAsia="仿宋_GB2312" w:hint="eastAsia"/>
          <w:sz w:val="32"/>
        </w:rPr>
        <w:t>费反映</w:t>
      </w:r>
      <w:proofErr w:type="gramEnd"/>
      <w:r>
        <w:rPr>
          <w:rFonts w:ascii="仿宋_GB2312" w:eastAsia="仿宋_GB2312" w:hint="eastAsia"/>
          <w:sz w:val="32"/>
        </w:rPr>
        <w:t>部门（单位）按规定开支的各类公务接待（含外宾接待）费用。</w:t>
      </w:r>
    </w:p>
    <w:p w14:paraId="3DA47B9D" w14:textId="77777777" w:rsidR="00B7661C" w:rsidRDefault="00AC1E27">
      <w:pPr>
        <w:widowControl/>
        <w:spacing w:before="240" w:after="240"/>
        <w:rPr>
          <w:rFonts w:eastAsia="Times New Roman"/>
          <w:kern w:val="0"/>
          <w:sz w:val="24"/>
        </w:rPr>
      </w:pPr>
      <w:r>
        <w:rPr>
          <w:rFonts w:ascii="仿宋_GB2312" w:eastAsia="仿宋_GB2312" w:hint="eastAsia"/>
          <w:sz w:val="32"/>
        </w:rPr>
        <w:t> </w:t>
      </w:r>
      <w:r>
        <w:rPr>
          <w:rFonts w:ascii="仿宋_GB2312" w:eastAsia="仿宋_GB2312" w:hint="eastAsia"/>
          <w:sz w:val="32"/>
        </w:rPr>
        <w:t xml:space="preserve"> </w:t>
      </w:r>
      <w:r>
        <w:rPr>
          <w:rFonts w:ascii="仿宋_GB2312" w:eastAsia="仿宋_GB2312" w:hint="eastAsia"/>
          <w:sz w:val="32"/>
        </w:rPr>
        <w:t> </w:t>
      </w:r>
      <w:r>
        <w:rPr>
          <w:rFonts w:ascii="仿宋_GB2312" w:eastAsia="仿宋_GB2312" w:hint="eastAsia"/>
          <w:sz w:val="32"/>
        </w:rPr>
        <w:t xml:space="preserve">  八、机构运行经费：指部门（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6A271D5C" w14:textId="77777777" w:rsidR="00B7661C" w:rsidRDefault="00AC1E27">
      <w:pPr>
        <w:pStyle w:val="2"/>
        <w:keepNext w:val="0"/>
        <w:keepLines w:val="0"/>
        <w:widowControl/>
        <w:spacing w:before="299" w:after="299" w:line="240" w:lineRule="auto"/>
        <w:jc w:val="center"/>
        <w:rPr>
          <w:rFonts w:ascii="Times New Roman" w:eastAsia="Times New Roman" w:hAnsi="Times New Roman"/>
          <w:kern w:val="0"/>
          <w:sz w:val="24"/>
        </w:rPr>
      </w:pPr>
      <w:r>
        <w:rPr>
          <w:rFonts w:ascii="方正小标宋简体" w:eastAsia="方正小标宋简体" w:hAnsi="Times New Roman" w:hint="eastAsia"/>
          <w:b w:val="0"/>
          <w:bCs w:val="0"/>
          <w:sz w:val="36"/>
          <w:szCs w:val="24"/>
        </w:rPr>
        <w:t>第四部分 决算公开联系方式及信息反馈渠道</w:t>
      </w:r>
    </w:p>
    <w:p w14:paraId="799E3EC4" w14:textId="77777777" w:rsidR="00B7661C" w:rsidRDefault="00AC1E27">
      <w:pPr>
        <w:widowControl/>
        <w:spacing w:before="240" w:after="240"/>
        <w:rPr>
          <w:rFonts w:ascii="仿宋_GB2312" w:eastAsia="仿宋_GB2312"/>
          <w:sz w:val="32"/>
        </w:rPr>
      </w:pPr>
      <w:r>
        <w:rPr>
          <w:rFonts w:ascii="仿宋_GB2312" w:eastAsia="仿宋_GB2312" w:hint="eastAsia"/>
          <w:sz w:val="32"/>
        </w:rPr>
        <w:t> </w:t>
      </w:r>
      <w:r>
        <w:rPr>
          <w:rFonts w:ascii="仿宋_GB2312" w:eastAsia="仿宋_GB2312" w:hint="eastAsia"/>
          <w:sz w:val="32"/>
        </w:rPr>
        <w:t xml:space="preserve">   本单位决算公开信息反馈和联系方式：</w:t>
      </w:r>
    </w:p>
    <w:p w14:paraId="46DAD811" w14:textId="77777777" w:rsidR="00B7661C" w:rsidRDefault="00AC1E27">
      <w:pPr>
        <w:widowControl/>
        <w:spacing w:before="240" w:after="240"/>
        <w:rPr>
          <w:rFonts w:ascii="仿宋_GB2312" w:eastAsia="仿宋_GB2312"/>
          <w:sz w:val="32"/>
        </w:rPr>
      </w:pPr>
      <w:r>
        <w:rPr>
          <w:rFonts w:ascii="仿宋_GB2312" w:eastAsia="仿宋_GB2312" w:hint="eastAsia"/>
          <w:sz w:val="32"/>
        </w:rPr>
        <w:t> </w:t>
      </w:r>
      <w:r>
        <w:rPr>
          <w:rFonts w:ascii="仿宋_GB2312" w:eastAsia="仿宋_GB2312" w:hint="eastAsia"/>
          <w:sz w:val="32"/>
        </w:rPr>
        <w:t xml:space="preserve"> </w:t>
      </w:r>
      <w:r>
        <w:rPr>
          <w:rFonts w:ascii="仿宋_GB2312" w:eastAsia="仿宋_GB2312" w:hint="eastAsia"/>
          <w:sz w:val="32"/>
        </w:rPr>
        <w:t> </w:t>
      </w:r>
      <w:r>
        <w:rPr>
          <w:rFonts w:ascii="仿宋_GB2312" w:eastAsia="仿宋_GB2312" w:hint="eastAsia"/>
          <w:sz w:val="32"/>
        </w:rPr>
        <w:t xml:space="preserve">  联系人：于乐 </w:t>
      </w:r>
      <w:r>
        <w:rPr>
          <w:rFonts w:ascii="仿宋_GB2312" w:eastAsia="仿宋_GB2312" w:hint="eastAsia"/>
          <w:sz w:val="32"/>
        </w:rPr>
        <w:t>          </w:t>
      </w:r>
      <w:r>
        <w:rPr>
          <w:rFonts w:ascii="仿宋_GB2312" w:eastAsia="仿宋_GB2312" w:hint="eastAsia"/>
          <w:sz w:val="32"/>
        </w:rPr>
        <w:t>联系电话：1770472774</w:t>
      </w:r>
      <w:r>
        <w:rPr>
          <w:rFonts w:ascii="仿宋_GB2312" w:eastAsia="仿宋_GB2312"/>
          <w:sz w:val="32"/>
        </w:rPr>
        <w:t xml:space="preserve"> </w:t>
      </w:r>
    </w:p>
    <w:p w14:paraId="549FEF8C" w14:textId="77777777" w:rsidR="00B7661C" w:rsidRDefault="00B7661C">
      <w:pPr>
        <w:widowControl/>
        <w:spacing w:before="240" w:after="240"/>
        <w:jc w:val="left"/>
        <w:rPr>
          <w:rFonts w:eastAsia="Times New Roman"/>
          <w:kern w:val="0"/>
          <w:sz w:val="24"/>
        </w:rPr>
      </w:pPr>
    </w:p>
    <w:p w14:paraId="16B5B2DE" w14:textId="77777777" w:rsidR="00B7661C" w:rsidRDefault="00AC1E27">
      <w:pPr>
        <w:autoSpaceDE w:val="0"/>
        <w:autoSpaceDN w:val="0"/>
        <w:adjustRightInd w:val="0"/>
        <w:spacing w:line="600" w:lineRule="exact"/>
        <w:jc w:val="center"/>
        <w:rPr>
          <w:rFonts w:eastAsia="Times New Roman"/>
          <w:kern w:val="0"/>
          <w:sz w:val="24"/>
        </w:rPr>
      </w:pPr>
      <w:r>
        <w:rPr>
          <w:rFonts w:ascii="方正小标宋简体" w:eastAsia="方正小标宋简体" w:hint="eastAsia"/>
          <w:sz w:val="36"/>
        </w:rPr>
        <w:t>第五部分 单位决算表</w:t>
      </w:r>
    </w:p>
    <w:p w14:paraId="539B9C6E" w14:textId="77777777" w:rsidR="00B7661C" w:rsidRDefault="00AC1E27">
      <w:pPr>
        <w:widowControl/>
        <w:spacing w:before="240" w:after="240"/>
        <w:jc w:val="left"/>
        <w:rPr>
          <w:rFonts w:eastAsia="Times New Roman"/>
          <w:kern w:val="0"/>
          <w:sz w:val="24"/>
        </w:rPr>
      </w:pPr>
      <w:r>
        <w:rPr>
          <w:rFonts w:ascii="fang_song_gb2312" w:eastAsia="fang_song_gb2312" w:hAnsi="fang_song_gb2312" w:cs="fang_song_gb2312"/>
          <w:kern w:val="0"/>
          <w:sz w:val="27"/>
          <w:szCs w:val="27"/>
        </w:rPr>
        <w:t xml:space="preserve">  </w:t>
      </w:r>
      <w:r>
        <w:rPr>
          <w:rFonts w:ascii="仿宋_GB2312" w:eastAsia="仿宋_GB2312" w:hint="eastAsia"/>
          <w:sz w:val="32"/>
        </w:rPr>
        <w:t> </w:t>
      </w:r>
      <w:r>
        <w:rPr>
          <w:rFonts w:ascii="仿宋_GB2312" w:eastAsia="仿宋_GB2312" w:hint="eastAsia"/>
          <w:sz w:val="32"/>
        </w:rPr>
        <w:t xml:space="preserve"> 见附件。</w:t>
      </w:r>
    </w:p>
    <w:bookmarkEnd w:id="0"/>
    <w:p w14:paraId="13CD0121" w14:textId="77777777" w:rsidR="00B7661C" w:rsidRDefault="00B7661C">
      <w:pPr>
        <w:tabs>
          <w:tab w:val="left" w:pos="8415"/>
        </w:tabs>
      </w:pPr>
    </w:p>
    <w:sectPr w:rsidR="00B7661C">
      <w:footerReference w:type="default" r:id="rId9"/>
      <w:pgSz w:w="11906" w:h="16838"/>
      <w:pgMar w:top="1440" w:right="1083" w:bottom="1440" w:left="1083" w:header="0" w:footer="72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7A59BF" w14:textId="77777777" w:rsidR="007A41FA" w:rsidRDefault="007A41FA">
      <w:r>
        <w:separator/>
      </w:r>
    </w:p>
  </w:endnote>
  <w:endnote w:type="continuationSeparator" w:id="0">
    <w:p w14:paraId="208D22F2" w14:textId="77777777" w:rsidR="007A41FA" w:rsidRDefault="007A4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00"/>
    <w:family w:val="auto"/>
    <w:pitch w:val="default"/>
  </w:font>
  <w:font w:name="方正小标宋简体">
    <w:altName w:val="黑体"/>
    <w:charset w:val="86"/>
    <w:family w:val="auto"/>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fang_zheng_xiao_biao_song_ti">
    <w:altName w:val="Segoe Print"/>
    <w:charset w:val="00"/>
    <w:family w:val="auto"/>
    <w:pitch w:val="default"/>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fang_song_gb2312">
    <w:altName w:val="Segoe Print"/>
    <w:charset w:val="00"/>
    <w:family w:val="auto"/>
    <w:pitch w:val="default"/>
  </w:font>
  <w:font w:name="kai_ti_gb2312">
    <w:altName w:val="Segoe Print"/>
    <w:charset w:val="00"/>
    <w:family w:val="auto"/>
    <w:pitch w:val="default"/>
  </w:font>
  <w:font w:name="times_new_roman">
    <w:altName w:val="Segoe Prin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78D878" w14:textId="77777777" w:rsidR="00B7661C" w:rsidRDefault="00AC1E27">
    <w:pPr>
      <w:pStyle w:val="a5"/>
      <w:jc w:val="center"/>
    </w:pPr>
    <w:r>
      <w:fldChar w:fldCharType="begin"/>
    </w:r>
    <w:r>
      <w:instrText xml:space="preserve"> PAGE   \* MERGEFORMAT </w:instrText>
    </w:r>
    <w:r>
      <w:fldChar w:fldCharType="separate"/>
    </w:r>
    <w:r>
      <w:rPr>
        <w:lang w:val="zh-CN"/>
      </w:rPr>
      <w:t>23</w:t>
    </w:r>
    <w:r>
      <w:rPr>
        <w:lang w:val="zh-CN"/>
      </w:rPr>
      <w:fldChar w:fldCharType="end"/>
    </w:r>
  </w:p>
  <w:p w14:paraId="6E15269E" w14:textId="77777777" w:rsidR="00B7661C" w:rsidRDefault="00B7661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9A4AC8" w14:textId="77777777" w:rsidR="007A41FA" w:rsidRDefault="007A41FA">
      <w:r>
        <w:separator/>
      </w:r>
    </w:p>
  </w:footnote>
  <w:footnote w:type="continuationSeparator" w:id="0">
    <w:p w14:paraId="3E26D533" w14:textId="77777777" w:rsidR="007A41FA" w:rsidRDefault="007A41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WUyOGU0YWMzZDhiYjgxYmU0MDM5NjhjNDgzYTRkMTIifQ=="/>
  </w:docVars>
  <w:rsids>
    <w:rsidRoot w:val="009F0536"/>
    <w:rsid w:val="0000662F"/>
    <w:rsid w:val="00015F20"/>
    <w:rsid w:val="00023E75"/>
    <w:rsid w:val="00033C6A"/>
    <w:rsid w:val="000475CC"/>
    <w:rsid w:val="00063AC2"/>
    <w:rsid w:val="000774F0"/>
    <w:rsid w:val="0008308B"/>
    <w:rsid w:val="00097269"/>
    <w:rsid w:val="000A769F"/>
    <w:rsid w:val="000D3889"/>
    <w:rsid w:val="0010682D"/>
    <w:rsid w:val="001620BF"/>
    <w:rsid w:val="001814D4"/>
    <w:rsid w:val="00183373"/>
    <w:rsid w:val="001E7634"/>
    <w:rsid w:val="001F6111"/>
    <w:rsid w:val="00204509"/>
    <w:rsid w:val="00225D2E"/>
    <w:rsid w:val="0023107E"/>
    <w:rsid w:val="00233241"/>
    <w:rsid w:val="00297C52"/>
    <w:rsid w:val="00300987"/>
    <w:rsid w:val="0030784F"/>
    <w:rsid w:val="00312846"/>
    <w:rsid w:val="00367870"/>
    <w:rsid w:val="00375E79"/>
    <w:rsid w:val="003A4E85"/>
    <w:rsid w:val="003B3EAA"/>
    <w:rsid w:val="00482D36"/>
    <w:rsid w:val="00490629"/>
    <w:rsid w:val="0049507B"/>
    <w:rsid w:val="004A738F"/>
    <w:rsid w:val="004B1589"/>
    <w:rsid w:val="004B721F"/>
    <w:rsid w:val="004D7065"/>
    <w:rsid w:val="004E0B6C"/>
    <w:rsid w:val="005011E1"/>
    <w:rsid w:val="00505A51"/>
    <w:rsid w:val="0051384E"/>
    <w:rsid w:val="00521603"/>
    <w:rsid w:val="00536012"/>
    <w:rsid w:val="0054657E"/>
    <w:rsid w:val="0059054F"/>
    <w:rsid w:val="00596608"/>
    <w:rsid w:val="005B4139"/>
    <w:rsid w:val="005C13AB"/>
    <w:rsid w:val="005C1E12"/>
    <w:rsid w:val="005E77EF"/>
    <w:rsid w:val="00607CF5"/>
    <w:rsid w:val="00667493"/>
    <w:rsid w:val="006C017F"/>
    <w:rsid w:val="006E7255"/>
    <w:rsid w:val="007003B2"/>
    <w:rsid w:val="007402A0"/>
    <w:rsid w:val="00762248"/>
    <w:rsid w:val="007627F7"/>
    <w:rsid w:val="00787000"/>
    <w:rsid w:val="007A41FA"/>
    <w:rsid w:val="007A7BA5"/>
    <w:rsid w:val="007B6706"/>
    <w:rsid w:val="007C1FDD"/>
    <w:rsid w:val="007D6292"/>
    <w:rsid w:val="00857D98"/>
    <w:rsid w:val="00894C48"/>
    <w:rsid w:val="00896385"/>
    <w:rsid w:val="008A10DB"/>
    <w:rsid w:val="008B5455"/>
    <w:rsid w:val="009125DD"/>
    <w:rsid w:val="00954CD9"/>
    <w:rsid w:val="009861AE"/>
    <w:rsid w:val="009A5EF3"/>
    <w:rsid w:val="009D6904"/>
    <w:rsid w:val="009E1EE8"/>
    <w:rsid w:val="009E227B"/>
    <w:rsid w:val="009E308A"/>
    <w:rsid w:val="009F0536"/>
    <w:rsid w:val="00A147CF"/>
    <w:rsid w:val="00A15C2B"/>
    <w:rsid w:val="00A270BE"/>
    <w:rsid w:val="00A36C1D"/>
    <w:rsid w:val="00A517A0"/>
    <w:rsid w:val="00A62486"/>
    <w:rsid w:val="00AB013A"/>
    <w:rsid w:val="00AC1E27"/>
    <w:rsid w:val="00AD11A5"/>
    <w:rsid w:val="00AE47F5"/>
    <w:rsid w:val="00AF5F33"/>
    <w:rsid w:val="00B27D51"/>
    <w:rsid w:val="00B32BEE"/>
    <w:rsid w:val="00B373AF"/>
    <w:rsid w:val="00B4208A"/>
    <w:rsid w:val="00B57D7A"/>
    <w:rsid w:val="00B7661C"/>
    <w:rsid w:val="00B76620"/>
    <w:rsid w:val="00B840CE"/>
    <w:rsid w:val="00B9042C"/>
    <w:rsid w:val="00B96C3D"/>
    <w:rsid w:val="00BD0928"/>
    <w:rsid w:val="00BE5F73"/>
    <w:rsid w:val="00BF4228"/>
    <w:rsid w:val="00C07A30"/>
    <w:rsid w:val="00C352FF"/>
    <w:rsid w:val="00C44231"/>
    <w:rsid w:val="00CC6B8B"/>
    <w:rsid w:val="00CD3751"/>
    <w:rsid w:val="00D2051A"/>
    <w:rsid w:val="00D96390"/>
    <w:rsid w:val="00E219E7"/>
    <w:rsid w:val="00E60D6A"/>
    <w:rsid w:val="00E73321"/>
    <w:rsid w:val="00E77EC0"/>
    <w:rsid w:val="00E914C1"/>
    <w:rsid w:val="00E97C37"/>
    <w:rsid w:val="00EE533B"/>
    <w:rsid w:val="00EF5648"/>
    <w:rsid w:val="00F04882"/>
    <w:rsid w:val="00F63327"/>
    <w:rsid w:val="00F80A29"/>
    <w:rsid w:val="00FA7CA5"/>
    <w:rsid w:val="00FD08EC"/>
    <w:rsid w:val="00FD7690"/>
    <w:rsid w:val="01B97B4A"/>
    <w:rsid w:val="096C32A2"/>
    <w:rsid w:val="1BCF26C4"/>
    <w:rsid w:val="1EF53F2C"/>
    <w:rsid w:val="1F8D5E8F"/>
    <w:rsid w:val="2ED52C19"/>
    <w:rsid w:val="55B73BAA"/>
    <w:rsid w:val="55B96612"/>
    <w:rsid w:val="567059A5"/>
    <w:rsid w:val="5A376453"/>
    <w:rsid w:val="64211DB4"/>
    <w:rsid w:val="6D5F039D"/>
    <w:rsid w:val="7E2C6D1E"/>
    <w:rsid w:val="7EF956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03FB5"/>
  <w15:docId w15:val="{9255E0FE-76DE-43BC-8884-B788B2D9D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0"/>
    <w:qFormat/>
    <w:pPr>
      <w:keepNext/>
      <w:keepLines/>
      <w:spacing w:before="260" w:after="260" w:line="416" w:lineRule="auto"/>
      <w:outlineLvl w:val="2"/>
    </w:pPr>
    <w:rPr>
      <w:b/>
      <w:bCs/>
      <w:sz w:val="32"/>
      <w:szCs w:val="32"/>
    </w:rPr>
  </w:style>
  <w:style w:type="paragraph" w:styleId="4">
    <w:name w:val="heading 4"/>
    <w:basedOn w:val="a"/>
    <w:next w:val="a"/>
    <w:link w:val="40"/>
    <w:qFormat/>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autoRedefine/>
    <w:qFormat/>
    <w:pPr>
      <w:ind w:left="1260"/>
      <w:jc w:val="left"/>
    </w:pPr>
    <w:rPr>
      <w:sz w:val="20"/>
      <w:szCs w:val="20"/>
    </w:rPr>
  </w:style>
  <w:style w:type="paragraph" w:styleId="a3">
    <w:name w:val="Document Map"/>
    <w:basedOn w:val="a"/>
    <w:qFormat/>
    <w:pPr>
      <w:shd w:val="clear" w:color="auto" w:fill="000080"/>
    </w:pPr>
  </w:style>
  <w:style w:type="paragraph" w:styleId="a4">
    <w:name w:val="Body Text Indent"/>
    <w:basedOn w:val="a"/>
    <w:qFormat/>
    <w:pPr>
      <w:spacing w:after="120"/>
      <w:ind w:leftChars="200" w:left="420"/>
      <w:jc w:val="left"/>
    </w:pPr>
    <w:rPr>
      <w:rFonts w:ascii="宋体" w:hAnsi="宋体" w:hint="eastAsia"/>
      <w:kern w:val="0"/>
      <w:sz w:val="24"/>
    </w:rPr>
  </w:style>
  <w:style w:type="paragraph" w:styleId="TOC5">
    <w:name w:val="toc 5"/>
    <w:basedOn w:val="a"/>
    <w:next w:val="a"/>
    <w:autoRedefine/>
    <w:qFormat/>
    <w:pPr>
      <w:ind w:left="840"/>
      <w:jc w:val="left"/>
    </w:pPr>
    <w:rPr>
      <w:sz w:val="20"/>
      <w:szCs w:val="20"/>
    </w:rPr>
  </w:style>
  <w:style w:type="paragraph" w:styleId="TOC3">
    <w:name w:val="toc 3"/>
    <w:basedOn w:val="a"/>
    <w:next w:val="a"/>
    <w:qFormat/>
    <w:pPr>
      <w:adjustRightInd w:val="0"/>
      <w:snapToGrid w:val="0"/>
      <w:spacing w:line="360" w:lineRule="auto"/>
      <w:ind w:firstLineChars="400" w:firstLine="400"/>
      <w:jc w:val="left"/>
    </w:pPr>
    <w:rPr>
      <w:sz w:val="24"/>
      <w:szCs w:val="20"/>
    </w:rPr>
  </w:style>
  <w:style w:type="paragraph" w:styleId="TOC8">
    <w:name w:val="toc 8"/>
    <w:basedOn w:val="a"/>
    <w:next w:val="a"/>
    <w:autoRedefine/>
    <w:qFormat/>
    <w:pPr>
      <w:ind w:left="1470"/>
      <w:jc w:val="left"/>
    </w:pPr>
    <w:rPr>
      <w:sz w:val="20"/>
      <w:szCs w:val="20"/>
    </w:rPr>
  </w:style>
  <w:style w:type="paragraph" w:styleId="a5">
    <w:name w:val="footer"/>
    <w:basedOn w:val="a"/>
    <w:link w:val="a6"/>
    <w:qFormat/>
    <w:pPr>
      <w:tabs>
        <w:tab w:val="center" w:pos="4153"/>
        <w:tab w:val="right" w:pos="8306"/>
      </w:tabs>
      <w:snapToGrid w:val="0"/>
      <w:jc w:val="left"/>
    </w:pPr>
    <w:rPr>
      <w:sz w:val="18"/>
      <w:szCs w:val="18"/>
    </w:rPr>
  </w:style>
  <w:style w:type="paragraph" w:styleId="a7">
    <w:name w:val="header"/>
    <w:basedOn w:val="a"/>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qFormat/>
    <w:pPr>
      <w:adjustRightInd w:val="0"/>
      <w:snapToGrid w:val="0"/>
      <w:spacing w:line="360" w:lineRule="auto"/>
      <w:jc w:val="left"/>
    </w:pPr>
    <w:rPr>
      <w:b/>
      <w:bCs/>
      <w:sz w:val="24"/>
      <w:szCs w:val="20"/>
    </w:rPr>
  </w:style>
  <w:style w:type="paragraph" w:styleId="TOC4">
    <w:name w:val="toc 4"/>
    <w:basedOn w:val="a"/>
    <w:next w:val="a"/>
    <w:autoRedefine/>
    <w:qFormat/>
    <w:pPr>
      <w:ind w:left="630"/>
      <w:jc w:val="left"/>
    </w:pPr>
    <w:rPr>
      <w:sz w:val="20"/>
      <w:szCs w:val="20"/>
    </w:rPr>
  </w:style>
  <w:style w:type="paragraph" w:styleId="TOC6">
    <w:name w:val="toc 6"/>
    <w:basedOn w:val="a"/>
    <w:next w:val="a"/>
    <w:autoRedefine/>
    <w:qFormat/>
    <w:pPr>
      <w:ind w:left="1050"/>
      <w:jc w:val="left"/>
    </w:pPr>
    <w:rPr>
      <w:sz w:val="20"/>
      <w:szCs w:val="20"/>
    </w:rPr>
  </w:style>
  <w:style w:type="paragraph" w:styleId="TOC2">
    <w:name w:val="toc 2"/>
    <w:basedOn w:val="a"/>
    <w:next w:val="a"/>
    <w:qFormat/>
    <w:pPr>
      <w:adjustRightInd w:val="0"/>
      <w:snapToGrid w:val="0"/>
      <w:spacing w:line="360" w:lineRule="auto"/>
      <w:ind w:firstLineChars="200" w:firstLine="200"/>
      <w:jc w:val="left"/>
    </w:pPr>
    <w:rPr>
      <w:iCs/>
      <w:sz w:val="24"/>
      <w:szCs w:val="20"/>
    </w:rPr>
  </w:style>
  <w:style w:type="paragraph" w:styleId="TOC9">
    <w:name w:val="toc 9"/>
    <w:basedOn w:val="a"/>
    <w:next w:val="a"/>
    <w:autoRedefine/>
    <w:qFormat/>
    <w:pPr>
      <w:ind w:left="1680"/>
      <w:jc w:val="left"/>
    </w:pPr>
    <w:rPr>
      <w:sz w:val="20"/>
      <w:szCs w:val="20"/>
    </w:rPr>
  </w:style>
  <w:style w:type="paragraph" w:styleId="20">
    <w:name w:val="Body Text First Indent 2"/>
    <w:basedOn w:val="a4"/>
    <w:qFormat/>
    <w:pPr>
      <w:ind w:firstLine="420"/>
    </w:pPr>
  </w:style>
  <w:style w:type="character" w:styleId="a8">
    <w:name w:val="page number"/>
    <w:basedOn w:val="a0"/>
    <w:qFormat/>
  </w:style>
  <w:style w:type="character" w:styleId="a9">
    <w:name w:val="Hyperlink"/>
    <w:basedOn w:val="a0"/>
    <w:qFormat/>
    <w:rPr>
      <w:color w:val="0000FF"/>
      <w:u w:val="single"/>
    </w:rPr>
  </w:style>
  <w:style w:type="character" w:customStyle="1" w:styleId="40">
    <w:name w:val="标题 4 字符"/>
    <w:basedOn w:val="a0"/>
    <w:link w:val="4"/>
    <w:qFormat/>
    <w:rPr>
      <w:rFonts w:ascii="Cambria" w:hAnsi="Cambria"/>
      <w:b/>
      <w:bCs/>
      <w:kern w:val="2"/>
      <w:sz w:val="28"/>
      <w:szCs w:val="28"/>
    </w:rPr>
  </w:style>
  <w:style w:type="paragraph" w:styleId="aa">
    <w:name w:val="No Spacing"/>
    <w:link w:val="ab"/>
    <w:qFormat/>
    <w:pPr>
      <w:ind w:firstLineChars="200" w:firstLine="200"/>
    </w:pPr>
    <w:rPr>
      <w:rFonts w:eastAsia="仿宋_GB2312"/>
      <w:sz w:val="30"/>
      <w:szCs w:val="22"/>
    </w:rPr>
  </w:style>
  <w:style w:type="character" w:customStyle="1" w:styleId="ab">
    <w:name w:val="无间隔 字符"/>
    <w:link w:val="aa"/>
    <w:qFormat/>
    <w:locked/>
    <w:rPr>
      <w:rFonts w:eastAsia="仿宋_GB2312"/>
      <w:sz w:val="30"/>
      <w:szCs w:val="22"/>
      <w:lang w:bidi="ar-SA"/>
    </w:rPr>
  </w:style>
  <w:style w:type="character" w:customStyle="1" w:styleId="a6">
    <w:name w:val="页脚 字符"/>
    <w:basedOn w:val="a0"/>
    <w:link w:val="a5"/>
    <w:qFormat/>
    <w:rPr>
      <w:kern w:val="2"/>
      <w:sz w:val="18"/>
      <w:szCs w:val="18"/>
    </w:rPr>
  </w:style>
  <w:style w:type="paragraph" w:styleId="ac">
    <w:name w:val="List Paragraph"/>
    <w:basedOn w:val="a"/>
    <w:qFormat/>
    <w:pPr>
      <w:ind w:firstLineChars="200" w:firstLine="420"/>
    </w:pPr>
  </w:style>
  <w:style w:type="character" w:customStyle="1" w:styleId="30">
    <w:name w:val="标题 3 字符"/>
    <w:basedOn w:val="a0"/>
    <w:link w:val="3"/>
    <w:qFormat/>
    <w:rPr>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istrator\Desktop\&#21508;&#21333;&#20301;2023&#24180;&#20915;&#31639;&#20844;&#24320;\&#39292;&#22270;.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dministrator\Desktop\&#21508;&#21333;&#20301;2023&#24180;&#20915;&#31639;&#20844;&#24320;\&#39292;&#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effectLst/>
      </c:spPr>
    </c:floor>
    <c:sideWall>
      <c:thickness val="0"/>
      <c:spPr>
        <a:noFill/>
        <a:effectLst/>
      </c:spPr>
    </c:sideWall>
    <c:backWall>
      <c:thickness val="0"/>
      <c:spPr>
        <a:noFill/>
        <a:effectLst/>
      </c:spPr>
    </c:backWall>
    <c:plotArea>
      <c:layout>
        <c:manualLayout>
          <c:layoutTarget val="inner"/>
          <c:xMode val="edge"/>
          <c:yMode val="edge"/>
          <c:x val="8.55263157894737E-2"/>
          <c:y val="4.05092592592593E-2"/>
          <c:w val="0.82907894736842103"/>
          <c:h val="0.57662037037036995"/>
        </c:manualLayout>
      </c:layout>
      <c:pie3DChart>
        <c:varyColors val="1"/>
        <c:ser>
          <c:idx val="0"/>
          <c:order val="0"/>
          <c:spPr>
            <a:scene3d>
              <a:camera prst="orthographicFront"/>
              <a:lightRig rig="threePt" dir="t"/>
            </a:scene3d>
            <a:sp3d contourW="9525"/>
          </c:spPr>
          <c:dPt>
            <c:idx val="0"/>
            <c:bubble3D val="0"/>
            <c:spPr>
              <a:solidFill>
                <a:schemeClr val="accent1"/>
              </a:solidFill>
              <a:ln>
                <a:solidFill>
                  <a:schemeClr val="bg1"/>
                </a:solidFill>
              </a:ln>
              <a:effectLst/>
              <a:scene3d>
                <a:camera prst="orthographicFront"/>
                <a:lightRig rig="threePt" dir="t"/>
              </a:scene3d>
              <a:sp3d contourW="9525"/>
            </c:spPr>
            <c:extLst>
              <c:ext xmlns:c16="http://schemas.microsoft.com/office/drawing/2014/chart" uri="{C3380CC4-5D6E-409C-BE32-E72D297353CC}">
                <c16:uniqueId val="{00000001-7128-405A-B57F-CF399E9EB9A4}"/>
              </c:ext>
            </c:extLst>
          </c:dPt>
          <c:dPt>
            <c:idx val="1"/>
            <c:bubble3D val="0"/>
            <c:spPr>
              <a:solidFill>
                <a:schemeClr val="accent2"/>
              </a:solidFill>
              <a:ln>
                <a:solidFill>
                  <a:schemeClr val="bg1"/>
                </a:solidFill>
              </a:ln>
              <a:effectLst/>
              <a:scene3d>
                <a:camera prst="orthographicFront"/>
                <a:lightRig rig="threePt" dir="t"/>
              </a:scene3d>
              <a:sp3d contourW="9525"/>
            </c:spPr>
            <c:extLst>
              <c:ext xmlns:c16="http://schemas.microsoft.com/office/drawing/2014/chart" uri="{C3380CC4-5D6E-409C-BE32-E72D297353CC}">
                <c16:uniqueId val="{00000003-7128-405A-B57F-CF399E9EB9A4}"/>
              </c:ext>
            </c:extLst>
          </c:dPt>
          <c:dPt>
            <c:idx val="2"/>
            <c:bubble3D val="0"/>
            <c:spPr>
              <a:solidFill>
                <a:schemeClr val="accent3"/>
              </a:solidFill>
              <a:ln>
                <a:solidFill>
                  <a:schemeClr val="bg1"/>
                </a:solidFill>
              </a:ln>
              <a:effectLst/>
              <a:scene3d>
                <a:camera prst="orthographicFront"/>
                <a:lightRig rig="threePt" dir="t"/>
              </a:scene3d>
              <a:sp3d contourW="9525"/>
            </c:spPr>
            <c:extLst>
              <c:ext xmlns:c16="http://schemas.microsoft.com/office/drawing/2014/chart" uri="{C3380CC4-5D6E-409C-BE32-E72D297353CC}">
                <c16:uniqueId val="{00000005-7128-405A-B57F-CF399E9EB9A4}"/>
              </c:ext>
            </c:extLst>
          </c:dPt>
          <c:dPt>
            <c:idx val="3"/>
            <c:bubble3D val="0"/>
            <c:spPr>
              <a:solidFill>
                <a:schemeClr val="accent4"/>
              </a:solidFill>
              <a:ln>
                <a:solidFill>
                  <a:schemeClr val="bg1"/>
                </a:solidFill>
              </a:ln>
              <a:effectLst/>
              <a:scene3d>
                <a:camera prst="orthographicFront"/>
                <a:lightRig rig="threePt" dir="t"/>
              </a:scene3d>
              <a:sp3d contourW="9525"/>
            </c:spPr>
            <c:extLst>
              <c:ext xmlns:c16="http://schemas.microsoft.com/office/drawing/2014/chart" uri="{C3380CC4-5D6E-409C-BE32-E72D297353CC}">
                <c16:uniqueId val="{00000007-7128-405A-B57F-CF399E9EB9A4}"/>
              </c:ext>
            </c:extLst>
          </c:dPt>
          <c:dPt>
            <c:idx val="4"/>
            <c:bubble3D val="0"/>
            <c:spPr>
              <a:solidFill>
                <a:schemeClr val="accent5"/>
              </a:solidFill>
              <a:ln>
                <a:solidFill>
                  <a:schemeClr val="bg1"/>
                </a:solidFill>
              </a:ln>
              <a:effectLst/>
              <a:scene3d>
                <a:camera prst="orthographicFront"/>
                <a:lightRig rig="threePt" dir="t"/>
              </a:scene3d>
              <a:sp3d contourW="9525"/>
            </c:spPr>
            <c:extLst>
              <c:ext xmlns:c16="http://schemas.microsoft.com/office/drawing/2014/chart" uri="{C3380CC4-5D6E-409C-BE32-E72D297353CC}">
                <c16:uniqueId val="{00000009-7128-405A-B57F-CF399E9EB9A4}"/>
              </c:ext>
            </c:extLst>
          </c:dPt>
          <c:dPt>
            <c:idx val="5"/>
            <c:bubble3D val="0"/>
            <c:spPr>
              <a:solidFill>
                <a:schemeClr val="accent6"/>
              </a:solidFill>
              <a:ln>
                <a:solidFill>
                  <a:schemeClr val="bg1"/>
                </a:solidFill>
              </a:ln>
              <a:effectLst/>
              <a:scene3d>
                <a:camera prst="orthographicFront"/>
                <a:lightRig rig="threePt" dir="t"/>
              </a:scene3d>
              <a:sp3d contourW="9525"/>
            </c:spPr>
            <c:extLst>
              <c:ext xmlns:c16="http://schemas.microsoft.com/office/drawing/2014/chart" uri="{C3380CC4-5D6E-409C-BE32-E72D297353CC}">
                <c16:uniqueId val="{0000000B-7128-405A-B57F-CF399E9EB9A4}"/>
              </c:ext>
            </c:extLst>
          </c:dPt>
          <c:dPt>
            <c:idx val="6"/>
            <c:bubble3D val="0"/>
            <c:spPr>
              <a:solidFill>
                <a:schemeClr val="accent1">
                  <a:lumMod val="60000"/>
                </a:schemeClr>
              </a:solidFill>
              <a:ln>
                <a:solidFill>
                  <a:schemeClr val="bg1"/>
                </a:solidFill>
              </a:ln>
              <a:effectLst/>
              <a:scene3d>
                <a:camera prst="orthographicFront"/>
                <a:lightRig rig="threePt" dir="t"/>
              </a:scene3d>
              <a:sp3d contourW="9525"/>
            </c:spPr>
            <c:extLst>
              <c:ext xmlns:c16="http://schemas.microsoft.com/office/drawing/2014/chart" uri="{C3380CC4-5D6E-409C-BE32-E72D297353CC}">
                <c16:uniqueId val="{0000000D-7128-405A-B57F-CF399E9EB9A4}"/>
              </c:ext>
            </c:extLst>
          </c:dPt>
          <c:dPt>
            <c:idx val="7"/>
            <c:bubble3D val="0"/>
            <c:spPr>
              <a:solidFill>
                <a:schemeClr val="accent2">
                  <a:lumMod val="60000"/>
                </a:schemeClr>
              </a:solidFill>
              <a:ln>
                <a:solidFill>
                  <a:schemeClr val="bg1"/>
                </a:solidFill>
              </a:ln>
              <a:effectLst/>
              <a:scene3d>
                <a:camera prst="orthographicFront"/>
                <a:lightRig rig="threePt" dir="t"/>
              </a:scene3d>
              <a:sp3d contourW="9525"/>
            </c:spPr>
            <c:extLst>
              <c:ext xmlns:c16="http://schemas.microsoft.com/office/drawing/2014/chart" uri="{C3380CC4-5D6E-409C-BE32-E72D297353CC}">
                <c16:uniqueId val="{0000000F-7128-405A-B57F-CF399E9EB9A4}"/>
              </c:ext>
            </c:extLst>
          </c:dPt>
          <c:dLbls>
            <c:dLbl>
              <c:idx val="4"/>
              <c:dLblPos val="bestFit"/>
              <c:showLegendKey val="0"/>
              <c:showVal val="1"/>
              <c:showCatName val="0"/>
              <c:showSerName val="0"/>
              <c:showPercent val="0"/>
              <c:showBubbleSize val="0"/>
              <c:extLst>
                <c:ext xmlns:c15="http://schemas.microsoft.com/office/drawing/2012/chart" uri="{CE6537A1-D6FC-4f65-9D91-7224C49458BB}">
                  <c15:layout>
                    <c:manualLayout>
                      <c:w val="7.9078947368421096E-2"/>
                      <c:h val="6.0879629629629603E-2"/>
                    </c:manualLayout>
                  </c15:layout>
                </c:ext>
                <c:ext xmlns:c16="http://schemas.microsoft.com/office/drawing/2014/chart" uri="{C3380CC4-5D6E-409C-BE32-E72D297353CC}">
                  <c16:uniqueId val="{00000009-7128-405A-B57F-CF399E9EB9A4}"/>
                </c:ext>
              </c:extLst>
            </c:dLbl>
            <c:dLbl>
              <c:idx val="5"/>
              <c:delete val="1"/>
              <c:extLst>
                <c:ext xmlns:c15="http://schemas.microsoft.com/office/drawing/2012/chart" uri="{CE6537A1-D6FC-4f65-9D91-7224C49458BB}"/>
                <c:ext xmlns:c16="http://schemas.microsoft.com/office/drawing/2014/chart" uri="{C3380CC4-5D6E-409C-BE32-E72D297353CC}">
                  <c16:uniqueId val="{0000000B-7128-405A-B57F-CF399E9EB9A4}"/>
                </c:ext>
              </c:extLst>
            </c:dLbl>
            <c:dLbl>
              <c:idx val="6"/>
              <c:layout>
                <c:manualLayout>
                  <c:x val="3.1578947368421102E-2"/>
                  <c:y val="0"/>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7128-405A-B57F-CF399E9EB9A4}"/>
                </c:ext>
              </c:extLst>
            </c:dLbl>
            <c:dLbl>
              <c:idx val="7"/>
              <c:layout>
                <c:manualLayout>
                  <c:x val="-5.7236842105263197E-2"/>
                  <c:y val="6.9444444444444397E-3"/>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7128-405A-B57F-CF399E9EB9A4}"/>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endParaRPr lang="zh-CN"/>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prstDash val="solid"/>
                  <a:round/>
                </a:ln>
                <a:effectLst/>
              </c:spPr>
            </c:leaderLines>
            <c:extLst>
              <c:ext xmlns:c15="http://schemas.microsoft.com/office/drawing/2012/chart" uri="{CE6537A1-D6FC-4f65-9D91-7224C49458BB}"/>
            </c:extLst>
          </c:dLbls>
          <c:cat>
            <c:strRef>
              <c:f>[饼图.xlsx]事业收入!$A$1:$H$1</c:f>
              <c:strCache>
                <c:ptCount val="8"/>
                <c:pt idx="0">
                  <c:v>一般公共预算财政拨款收入</c:v>
                </c:pt>
                <c:pt idx="1">
                  <c:v>政府性基金预算财政拨款收入</c:v>
                </c:pt>
                <c:pt idx="2">
                  <c:v>国有资本经营预算财政拨款收入</c:v>
                </c:pt>
                <c:pt idx="3">
                  <c:v>上级补助收入</c:v>
                </c:pt>
                <c:pt idx="4">
                  <c:v>事业收入</c:v>
                </c:pt>
                <c:pt idx="5">
                  <c:v>经营收入</c:v>
                </c:pt>
                <c:pt idx="6">
                  <c:v>附属单位上缴收入</c:v>
                </c:pt>
                <c:pt idx="7">
                  <c:v>其他收入</c:v>
                </c:pt>
              </c:strCache>
            </c:strRef>
          </c:cat>
          <c:val>
            <c:numRef>
              <c:f>[饼图.xlsx]事业收入!$A$2:$H$2</c:f>
              <c:numCache>
                <c:formatCode>General</c:formatCode>
                <c:ptCount val="8"/>
                <c:pt idx="0" formatCode="0.00%">
                  <c:v>0.99990000000000001</c:v>
                </c:pt>
                <c:pt idx="7" formatCode="0.00%">
                  <c:v>1E-4</c:v>
                </c:pt>
              </c:numCache>
            </c:numRef>
          </c:val>
          <c:extLst>
            <c:ext xmlns:c16="http://schemas.microsoft.com/office/drawing/2014/chart" uri="{C3380CC4-5D6E-409C-BE32-E72D297353CC}">
              <c16:uniqueId val="{00000010-7128-405A-B57F-CF399E9EB9A4}"/>
            </c:ext>
          </c:extLst>
        </c:ser>
        <c:dLbls>
          <c:showLegendKey val="0"/>
          <c:showVal val="1"/>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effectLst/>
      </c:spPr>
    </c:floor>
    <c:sideWall>
      <c:thickness val="0"/>
      <c:spPr>
        <a:noFill/>
        <a:effectLst/>
      </c:spPr>
    </c:sideWall>
    <c:backWall>
      <c:thickness val="0"/>
      <c:spPr>
        <a:noFill/>
        <a:effectLst/>
      </c:spPr>
    </c:backWall>
    <c:plotArea>
      <c:layout/>
      <c:pie3DChart>
        <c:varyColors val="1"/>
        <c:ser>
          <c:idx val="0"/>
          <c:order val="0"/>
          <c:spPr>
            <a:scene3d>
              <a:camera prst="orthographicFront"/>
              <a:lightRig rig="threePt" dir="t"/>
            </a:scene3d>
            <a:sp3d contourW="9525"/>
          </c:spPr>
          <c:dPt>
            <c:idx val="0"/>
            <c:bubble3D val="0"/>
            <c:spPr>
              <a:solidFill>
                <a:schemeClr val="accent1"/>
              </a:solidFill>
              <a:ln>
                <a:solidFill>
                  <a:schemeClr val="bg1"/>
                </a:solidFill>
              </a:ln>
              <a:effectLst/>
              <a:scene3d>
                <a:camera prst="orthographicFront"/>
                <a:lightRig rig="threePt" dir="t"/>
              </a:scene3d>
              <a:sp3d contourW="9525"/>
            </c:spPr>
            <c:extLst>
              <c:ext xmlns:c16="http://schemas.microsoft.com/office/drawing/2014/chart" uri="{C3380CC4-5D6E-409C-BE32-E72D297353CC}">
                <c16:uniqueId val="{00000001-49E7-4216-A726-D332A6C378C5}"/>
              </c:ext>
            </c:extLst>
          </c:dPt>
          <c:dPt>
            <c:idx val="1"/>
            <c:bubble3D val="0"/>
            <c:spPr>
              <a:solidFill>
                <a:schemeClr val="accent2"/>
              </a:solidFill>
              <a:ln>
                <a:solidFill>
                  <a:schemeClr val="bg1"/>
                </a:solidFill>
              </a:ln>
              <a:effectLst/>
              <a:scene3d>
                <a:camera prst="orthographicFront"/>
                <a:lightRig rig="threePt" dir="t"/>
              </a:scene3d>
              <a:sp3d contourW="9525"/>
            </c:spPr>
            <c:extLst>
              <c:ext xmlns:c16="http://schemas.microsoft.com/office/drawing/2014/chart" uri="{C3380CC4-5D6E-409C-BE32-E72D297353CC}">
                <c16:uniqueId val="{00000003-49E7-4216-A726-D332A6C378C5}"/>
              </c:ext>
            </c:extLst>
          </c:dPt>
          <c:dPt>
            <c:idx val="2"/>
            <c:bubble3D val="0"/>
            <c:spPr>
              <a:solidFill>
                <a:schemeClr val="accent3"/>
              </a:solidFill>
              <a:ln>
                <a:solidFill>
                  <a:schemeClr val="bg1"/>
                </a:solidFill>
              </a:ln>
              <a:effectLst/>
              <a:scene3d>
                <a:camera prst="orthographicFront"/>
                <a:lightRig rig="threePt" dir="t"/>
              </a:scene3d>
              <a:sp3d contourW="9525"/>
            </c:spPr>
            <c:extLst>
              <c:ext xmlns:c16="http://schemas.microsoft.com/office/drawing/2014/chart" uri="{C3380CC4-5D6E-409C-BE32-E72D297353CC}">
                <c16:uniqueId val="{00000005-49E7-4216-A726-D332A6C378C5}"/>
              </c:ext>
            </c:extLst>
          </c:dPt>
          <c:dPt>
            <c:idx val="3"/>
            <c:bubble3D val="0"/>
            <c:spPr>
              <a:solidFill>
                <a:schemeClr val="accent4"/>
              </a:solidFill>
              <a:ln>
                <a:solidFill>
                  <a:schemeClr val="bg1"/>
                </a:solidFill>
              </a:ln>
              <a:effectLst/>
              <a:scene3d>
                <a:camera prst="orthographicFront"/>
                <a:lightRig rig="threePt" dir="t"/>
              </a:scene3d>
              <a:sp3d contourW="9525"/>
            </c:spPr>
            <c:extLst>
              <c:ext xmlns:c16="http://schemas.microsoft.com/office/drawing/2014/chart" uri="{C3380CC4-5D6E-409C-BE32-E72D297353CC}">
                <c16:uniqueId val="{00000007-49E7-4216-A726-D332A6C378C5}"/>
              </c:ext>
            </c:extLst>
          </c:dPt>
          <c:dPt>
            <c:idx val="4"/>
            <c:bubble3D val="0"/>
            <c:spPr>
              <a:solidFill>
                <a:schemeClr val="accent5"/>
              </a:solidFill>
              <a:ln>
                <a:solidFill>
                  <a:schemeClr val="bg1"/>
                </a:solidFill>
              </a:ln>
              <a:effectLst/>
              <a:scene3d>
                <a:camera prst="orthographicFront"/>
                <a:lightRig rig="threePt" dir="t"/>
              </a:scene3d>
              <a:sp3d contourW="9525"/>
            </c:spPr>
            <c:extLst>
              <c:ext xmlns:c16="http://schemas.microsoft.com/office/drawing/2014/chart" uri="{C3380CC4-5D6E-409C-BE32-E72D297353CC}">
                <c16:uniqueId val="{00000009-49E7-4216-A726-D332A6C378C5}"/>
              </c:ext>
            </c:extLst>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endParaRPr lang="zh-CN"/>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prstDash val="solid"/>
                  <a:round/>
                </a:ln>
                <a:effectLst/>
              </c:spPr>
            </c:leaderLines>
            <c:extLst>
              <c:ext xmlns:c15="http://schemas.microsoft.com/office/drawing/2012/chart" uri="{CE6537A1-D6FC-4f65-9D91-7224C49458BB}"/>
            </c:extLst>
          </c:dLbls>
          <c:cat>
            <c:strRef>
              <c:f>[饼图.xlsx]事业支出!$A$1:$E$1</c:f>
              <c:strCache>
                <c:ptCount val="5"/>
                <c:pt idx="0">
                  <c:v>基本支出</c:v>
                </c:pt>
                <c:pt idx="1">
                  <c:v>项目支出</c:v>
                </c:pt>
                <c:pt idx="2">
                  <c:v>上缴上级支出</c:v>
                </c:pt>
                <c:pt idx="3">
                  <c:v>经营支出</c:v>
                </c:pt>
                <c:pt idx="4">
                  <c:v>对附属单位补助支出</c:v>
                </c:pt>
              </c:strCache>
            </c:strRef>
          </c:cat>
          <c:val>
            <c:numRef>
              <c:f>[饼图.xlsx]事业支出!$A$2:$E$2</c:f>
              <c:numCache>
                <c:formatCode>General</c:formatCode>
                <c:ptCount val="5"/>
                <c:pt idx="0" formatCode="0.00%">
                  <c:v>1</c:v>
                </c:pt>
              </c:numCache>
            </c:numRef>
          </c:val>
          <c:extLst>
            <c:ext xmlns:c16="http://schemas.microsoft.com/office/drawing/2014/chart" uri="{C3380CC4-5D6E-409C-BE32-E72D297353CC}">
              <c16:uniqueId val="{0000000A-49E7-4216-A726-D332A6C378C5}"/>
            </c:ext>
          </c:extLst>
        </c:ser>
        <c:dLbls>
          <c:showLegendKey val="0"/>
          <c:showVal val="1"/>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57559B6-2DC7-41B5-818F-6E7F243775C0}">
  <ds:schemaRefs>
    <ds:schemaRef ds:uri="http://schemas.openxmlformats.org/officeDocument/2006/relationships"/>
    <ds:schemaRef ds:uri="http://schemas.openxmlformats.org/wordprocessingml/2006/main"/>
    <ds:schemaRef ds:uri="http://schemas.microsoft.com/office/word/2012/wordml"/>
    <ds:schemaRef ds:uri="http://schemas.openxmlformats.org/officeDocument/2006/math"/>
    <ds:schemaRef ds:uri="http://schemas.microsoft.com/office/word/2010/wordml"/>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0/wordprocessingShape"/>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17</Pages>
  <Words>1152</Words>
  <Characters>6571</Characters>
  <Application>Microsoft Office Word</Application>
  <DocSecurity>0</DocSecurity>
  <Lines>54</Lines>
  <Paragraphs>15</Paragraphs>
  <ScaleCrop>false</ScaleCrop>
  <Company>微软中国</Company>
  <LinksUpToDate>false</LinksUpToDate>
  <CharactersWithSpaces>7708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××年度××部门/单位</dc:title>
  <dc:creator>Administrator</dc:creator>
  <cp:lastModifiedBy>鹏帅 张</cp:lastModifiedBy>
  <cp:revision>25</cp:revision>
  <cp:lastPrinted>2021-04-16T00:45:00Z</cp:lastPrinted>
  <dcterms:created xsi:type="dcterms:W3CDTF">2022-03-23T12:40:00Z</dcterms:created>
  <dcterms:modified xsi:type="dcterms:W3CDTF">2024-09-25T00:52:00Z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F4029F3D7A8A4A6FA3EB5B1B801649D0_12</vt:lpwstr>
  </property>
</Properties>
</file>