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5A3472BF">
      <w:pPr>
        <w:spacing w:line="360" w:lineRule="auto"/>
        <w:jc w:val="center"/>
        <w:rPr>
          <w:rFonts w:hint="eastAsia" w:ascii="宋体" w:hAnsi="宋体"/>
          <w:b/>
          <w:bCs/>
          <w:sz w:val="52"/>
          <w:szCs w:val="52"/>
          <w:lang w:eastAsia="zh-CN"/>
        </w:rPr>
      </w:pPr>
      <w:r>
        <w:rPr>
          <w:rFonts w:ascii="宋体" w:hAnsi="宋体"/>
          <w:b/>
          <w:bCs/>
          <w:sz w:val="52"/>
          <w:szCs w:val="52"/>
        </w:rPr>
        <w:t>2023</w:t>
      </w:r>
      <w:r>
        <w:rPr>
          <w:rFonts w:hint="eastAsia" w:ascii="宋体" w:hAnsi="宋体"/>
          <w:b/>
          <w:bCs/>
          <w:sz w:val="52"/>
          <w:szCs w:val="52"/>
        </w:rPr>
        <w:t>年度</w:t>
      </w:r>
      <w:r>
        <w:rPr>
          <w:rFonts w:hint="eastAsia" w:ascii="宋体" w:hAnsi="宋体"/>
          <w:b/>
          <w:bCs/>
          <w:sz w:val="52"/>
          <w:szCs w:val="52"/>
          <w:lang w:eastAsia="zh-CN"/>
        </w:rPr>
        <w:t>包头市口岸服务中心</w:t>
      </w:r>
    </w:p>
    <w:p w14:paraId="6AF33ABC">
      <w:pPr>
        <w:spacing w:line="360" w:lineRule="auto"/>
        <w:jc w:val="center"/>
        <w:rPr>
          <w:rFonts w:hint="default" w:ascii="宋体" w:hAnsi="宋体" w:eastAsia="宋体"/>
          <w:b/>
          <w:bCs/>
          <w:sz w:val="52"/>
          <w:szCs w:val="52"/>
          <w:lang w:val="en-US" w:eastAsia="zh-CN"/>
        </w:rPr>
      </w:pPr>
      <w:r>
        <w:rPr>
          <w:rFonts w:hint="eastAsia" w:ascii="宋体" w:hAnsi="宋体"/>
          <w:b/>
          <w:bCs/>
          <w:sz w:val="52"/>
          <w:szCs w:val="52"/>
          <w:lang w:val="en-US" w:eastAsia="zh-CN"/>
        </w:rPr>
        <w:t>决算公开</w:t>
      </w: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7342F8BA">
      <w:pPr>
        <w:adjustRightInd w:val="0"/>
        <w:snapToGrid w:val="0"/>
        <w:rPr>
          <w:rFonts w:ascii="宋体" w:hAnsi="宋体"/>
          <w:b/>
          <w:sz w:val="32"/>
          <w:szCs w:val="32"/>
        </w:rPr>
      </w:pPr>
    </w:p>
    <w:p w14:paraId="4A679AAA">
      <w:pPr>
        <w:adjustRightInd w:val="0"/>
        <w:snapToGrid w:val="0"/>
        <w:jc w:val="center"/>
      </w:pPr>
    </w:p>
    <w:p w14:paraId="574E833F">
      <w:pPr>
        <w:adjustRightInd w:val="0"/>
        <w:snapToGrid w:val="0"/>
        <w:rPr>
          <w:rFonts w:ascii="宋体" w:hAnsi="宋体"/>
          <w:b/>
          <w:sz w:val="32"/>
          <w:szCs w:val="32"/>
        </w:rPr>
      </w:pPr>
    </w:p>
    <w:p w14:paraId="3A24A52E">
      <w:pPr>
        <w:widowControl/>
        <w:spacing w:after="240"/>
        <w:jc w:val="center"/>
        <w:rPr>
          <w:rFonts w:ascii="fang_song_gb2312" w:hAnsi="fang_song_gb2312" w:eastAsia="fang_song_gb2312" w:cs="fang_song_gb2312"/>
          <w:b/>
          <w:bCs/>
          <w:kern w:val="0"/>
          <w:sz w:val="54"/>
          <w:szCs w:val="54"/>
        </w:rPr>
      </w:pPr>
      <w:bookmarkStart w:id="0" w:name="a000"/>
    </w:p>
    <w:p w14:paraId="4BAE30BE">
      <w:pPr>
        <w:widowControl/>
        <w:spacing w:after="240"/>
        <w:jc w:val="center"/>
        <w:rPr>
          <w:rFonts w:ascii="fang_song_gb2312" w:hAnsi="fang_song_gb2312" w:eastAsia="fang_song_gb2312" w:cs="fang_song_gb2312"/>
          <w:b/>
          <w:bCs/>
          <w:kern w:val="0"/>
          <w:sz w:val="54"/>
          <w:szCs w:val="54"/>
        </w:rPr>
      </w:pPr>
    </w:p>
    <w:p w14:paraId="4FA4012B">
      <w:pPr>
        <w:widowControl/>
        <w:spacing w:after="240"/>
        <w:jc w:val="center"/>
        <w:rPr>
          <w:rFonts w:ascii="fang_song_gb2312" w:hAnsi="fang_song_gb2312" w:eastAsia="fang_song_gb2312" w:cs="fang_song_gb2312"/>
          <w:b/>
          <w:bCs/>
          <w:kern w:val="0"/>
          <w:sz w:val="54"/>
          <w:szCs w:val="54"/>
        </w:rPr>
      </w:pPr>
    </w:p>
    <w:p w14:paraId="201993CA">
      <w:pPr>
        <w:widowControl/>
        <w:spacing w:after="240"/>
        <w:jc w:val="center"/>
        <w:rPr>
          <w:rFonts w:ascii="fang_song_gb2312" w:hAnsi="fang_song_gb2312" w:eastAsia="fang_song_gb2312" w:cs="fang_song_gb2312"/>
          <w:b/>
          <w:bCs/>
          <w:kern w:val="0"/>
          <w:sz w:val="28"/>
          <w:szCs w:val="28"/>
        </w:rPr>
      </w:pPr>
    </w:p>
    <w:p w14:paraId="1C9A9517">
      <w:pPr>
        <w:widowControl/>
        <w:spacing w:after="240"/>
        <w:jc w:val="center"/>
        <w:rPr>
          <w:rFonts w:ascii="Times New Roman" w:hAnsi="Times New Roman" w:eastAsia="Times New Roman" w:cs="Times New Roman"/>
          <w:kern w:val="0"/>
          <w:sz w:val="24"/>
        </w:rPr>
      </w:pPr>
      <w:r>
        <w:rPr>
          <w:rFonts w:ascii="fang_song_gb2312" w:hAnsi="fang_song_gb2312" w:eastAsia="fang_song_gb2312" w:cs="fang_song_gb2312"/>
          <w:b/>
          <w:bCs/>
          <w:kern w:val="0"/>
          <w:sz w:val="54"/>
          <w:szCs w:val="54"/>
        </w:rPr>
        <w:t>目 录</w:t>
      </w:r>
    </w:p>
    <w:p w14:paraId="5C836B46">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77624F78">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 xml:space="preserve">第一部分 </w:t>
      </w:r>
      <w:r>
        <w:rPr>
          <w:rFonts w:hint="eastAsia" w:ascii="黑体" w:hAnsi="黑体" w:eastAsia="黑体" w:cs="黑体"/>
          <w:kern w:val="0"/>
          <w:sz w:val="27"/>
          <w:szCs w:val="27"/>
          <w:lang w:eastAsia="zh-CN"/>
        </w:rPr>
        <w:t>单位</w:t>
      </w:r>
      <w:r>
        <w:rPr>
          <w:rFonts w:ascii="黑体" w:hAnsi="黑体" w:eastAsia="黑体" w:cs="黑体"/>
          <w:kern w:val="0"/>
          <w:sz w:val="27"/>
          <w:szCs w:val="27"/>
        </w:rPr>
        <w:t>概况</w:t>
      </w:r>
    </w:p>
    <w:p w14:paraId="749FF057">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一、主要职能、职责</w:t>
      </w:r>
    </w:p>
    <w:p w14:paraId="64E2C55A">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w:t>
      </w:r>
      <w:r>
        <w:rPr>
          <w:rFonts w:hint="eastAsia" w:ascii="fang_song_gb2312" w:hAnsi="fang_song_gb2312" w:cs="fang_song_gb2312"/>
          <w:kern w:val="0"/>
          <w:sz w:val="27"/>
          <w:szCs w:val="27"/>
          <w:lang w:eastAsia="zh-CN"/>
        </w:rPr>
        <w:t>单位</w:t>
      </w:r>
      <w:r>
        <w:rPr>
          <w:rFonts w:ascii="fang_song_gb2312" w:hAnsi="fang_song_gb2312" w:eastAsia="fang_song_gb2312" w:cs="fang_song_gb2312"/>
          <w:kern w:val="0"/>
          <w:sz w:val="27"/>
          <w:szCs w:val="27"/>
        </w:rPr>
        <w:t>机构设置及决算单位构成情况</w:t>
      </w:r>
    </w:p>
    <w:p w14:paraId="1C77469D">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三、2023年度</w:t>
      </w:r>
      <w:r>
        <w:rPr>
          <w:rFonts w:hint="eastAsia" w:ascii="fang_song_gb2312" w:hAnsi="fang_song_gb2312" w:cs="fang_song_gb2312"/>
          <w:kern w:val="0"/>
          <w:sz w:val="27"/>
          <w:szCs w:val="27"/>
          <w:lang w:eastAsia="zh-CN"/>
        </w:rPr>
        <w:t>单位</w:t>
      </w:r>
      <w:r>
        <w:rPr>
          <w:rFonts w:ascii="fang_song_gb2312" w:hAnsi="fang_song_gb2312" w:eastAsia="fang_song_gb2312" w:cs="fang_song_gb2312"/>
          <w:kern w:val="0"/>
          <w:sz w:val="27"/>
          <w:szCs w:val="27"/>
        </w:rPr>
        <w:t>主要工作完成情况</w:t>
      </w:r>
    </w:p>
    <w:p w14:paraId="237C56D1">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 xml:space="preserve">第二部分 </w:t>
      </w:r>
      <w:r>
        <w:rPr>
          <w:rFonts w:hint="eastAsia" w:ascii="黑体" w:hAnsi="黑体" w:eastAsia="黑体" w:cs="黑体"/>
          <w:kern w:val="0"/>
          <w:sz w:val="27"/>
          <w:szCs w:val="27"/>
          <w:lang w:eastAsia="zh-CN"/>
        </w:rPr>
        <w:t>单位</w:t>
      </w:r>
      <w:r>
        <w:rPr>
          <w:rFonts w:ascii="黑体" w:hAnsi="黑体" w:eastAsia="黑体" w:cs="黑体"/>
          <w:kern w:val="0"/>
          <w:sz w:val="27"/>
          <w:szCs w:val="27"/>
        </w:rPr>
        <w:t>决算情况说明</w:t>
      </w:r>
    </w:p>
    <w:p w14:paraId="0FBB892D">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一、收入支出决算总体情况说明</w:t>
      </w:r>
    </w:p>
    <w:p w14:paraId="347B2276">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二、收入决算情况说明</w:t>
      </w:r>
    </w:p>
    <w:p w14:paraId="2A7F2E15">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三、支出决算情况说明</w:t>
      </w:r>
    </w:p>
    <w:p w14:paraId="4E19B68F">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四、财政拨款收入支出决算总体情况说明</w:t>
      </w:r>
    </w:p>
    <w:p w14:paraId="5F604991">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五、一般公共预算财政拨款支出决算情况说明</w:t>
      </w:r>
    </w:p>
    <w:p w14:paraId="429D0FEF">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六、一般公共预算财政拨款基本支出决算情况说明</w:t>
      </w:r>
    </w:p>
    <w:p w14:paraId="584446BA">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七、一般公共预算财政拨款项目支出决算情况说明</w:t>
      </w:r>
    </w:p>
    <w:p w14:paraId="3580B0E8">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八、财政拨款“三公”经费支出决算情况说明</w:t>
      </w:r>
    </w:p>
    <w:p w14:paraId="6F4A6686">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九、政府性基金预算财政拨款支出决算情况说明</w:t>
      </w:r>
    </w:p>
    <w:p w14:paraId="3FE860FD">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十、国有资本经营预算财政拨款支出决算情况说明</w:t>
      </w:r>
    </w:p>
    <w:p w14:paraId="61D447E9">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十一、机构运行经费支出决算情况说明</w:t>
      </w:r>
    </w:p>
    <w:p w14:paraId="48074D4E">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十二、政府采购支出决算情况说明</w:t>
      </w:r>
    </w:p>
    <w:p w14:paraId="16885FB5">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十三、国有资产占用情况说明</w:t>
      </w:r>
    </w:p>
    <w:p w14:paraId="5544DDE3">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十四、预算绩效情况说明</w:t>
      </w:r>
    </w:p>
    <w:p w14:paraId="22FB6520">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675DBC3F">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71ACE04D">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 xml:space="preserve">第五部分 </w:t>
      </w:r>
      <w:r>
        <w:rPr>
          <w:rFonts w:hint="eastAsia" w:ascii="黑体" w:hAnsi="黑体" w:eastAsia="黑体" w:cs="黑体"/>
          <w:kern w:val="0"/>
          <w:sz w:val="27"/>
          <w:szCs w:val="27"/>
          <w:lang w:eastAsia="zh-CN"/>
        </w:rPr>
        <w:t>单位</w:t>
      </w:r>
      <w:r>
        <w:rPr>
          <w:rFonts w:ascii="黑体" w:hAnsi="黑体" w:eastAsia="黑体" w:cs="黑体"/>
          <w:kern w:val="0"/>
          <w:sz w:val="27"/>
          <w:szCs w:val="27"/>
        </w:rPr>
        <w:t>决算表</w:t>
      </w:r>
    </w:p>
    <w:p w14:paraId="11001FEE">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一、收入支出决算总表</w:t>
      </w:r>
    </w:p>
    <w:p w14:paraId="410A981D">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二、收入决算表</w:t>
      </w:r>
    </w:p>
    <w:p w14:paraId="3564D2C8">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三、支出决算表</w:t>
      </w:r>
    </w:p>
    <w:p w14:paraId="4CFCB002">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四、财政拨款收入支出决算总表</w:t>
      </w:r>
    </w:p>
    <w:p w14:paraId="0B0EACD1">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五、一般公共预算财政拨款支出决算表</w:t>
      </w:r>
    </w:p>
    <w:p w14:paraId="2145A690">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六、一般公共预算财政拨款基本支出决算明细表</w:t>
      </w:r>
    </w:p>
    <w:p w14:paraId="5F0C09FE">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七、一般公共预算财政拨款项目支出决算明细表</w:t>
      </w:r>
    </w:p>
    <w:p w14:paraId="48B69F66">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八、政府性基金预算财政拨款收入支出决算表</w:t>
      </w:r>
    </w:p>
    <w:p w14:paraId="065763B6">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九、国有资本经营预算财政拨款支出决算表</w:t>
      </w:r>
    </w:p>
    <w:p w14:paraId="62ECD5EE">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十、财政拨款“三公”经费支出决算表</w:t>
      </w:r>
    </w:p>
    <w:p w14:paraId="41CD9F18">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十一、机构运行经费支出、国有资产占用情况及政府采购支出信息表</w:t>
      </w:r>
    </w:p>
    <w:p w14:paraId="3AFED889">
      <w:pPr>
        <w:widowControl/>
        <w:spacing w:before="240" w:after="240"/>
        <w:rPr>
          <w:rFonts w:ascii="Times New Roman" w:hAnsi="Times New Roman" w:eastAsia="Times New Roman" w:cs="Times New Roman"/>
          <w:kern w:val="0"/>
          <w:sz w:val="24"/>
        </w:rPr>
      </w:pPr>
    </w:p>
    <w:p w14:paraId="214235EF">
      <w:pPr>
        <w:widowControl/>
        <w:spacing w:before="240" w:after="240"/>
        <w:rPr>
          <w:rFonts w:ascii="Times New Roman" w:hAnsi="Times New Roman" w:eastAsia="Times New Roman" w:cs="Times New Roman"/>
          <w:kern w:val="0"/>
          <w:sz w:val="24"/>
        </w:rPr>
      </w:pPr>
    </w:p>
    <w:p w14:paraId="47CC00F9">
      <w:pPr>
        <w:widowControl/>
        <w:spacing w:before="240" w:after="240"/>
        <w:rPr>
          <w:rFonts w:ascii="Times New Roman" w:hAnsi="Times New Roman" w:eastAsia="Times New Roman" w:cs="Times New Roman"/>
          <w:kern w:val="0"/>
          <w:sz w:val="24"/>
        </w:rPr>
      </w:pPr>
    </w:p>
    <w:p w14:paraId="4561348B">
      <w:pPr>
        <w:widowControl/>
        <w:spacing w:before="240" w:after="240"/>
        <w:rPr>
          <w:rFonts w:ascii="Times New Roman" w:hAnsi="Times New Roman" w:eastAsia="Times New Roman" w:cs="Times New Roman"/>
          <w:kern w:val="0"/>
          <w:sz w:val="24"/>
        </w:rPr>
      </w:pPr>
    </w:p>
    <w:p w14:paraId="0E0F38C5">
      <w:pPr>
        <w:widowControl/>
        <w:spacing w:before="240" w:after="240"/>
        <w:rPr>
          <w:rFonts w:ascii="Times New Roman" w:hAnsi="Times New Roman" w:eastAsia="Times New Roman" w:cs="Times New Roman"/>
          <w:kern w:val="0"/>
          <w:sz w:val="24"/>
        </w:rPr>
      </w:pPr>
    </w:p>
    <w:p w14:paraId="0D8E2882">
      <w:pPr>
        <w:widowControl/>
        <w:spacing w:before="240" w:after="240"/>
        <w:rPr>
          <w:rFonts w:ascii="Times New Roman" w:hAnsi="Times New Roman" w:eastAsia="Times New Roman" w:cs="Times New Roman"/>
          <w:kern w:val="0"/>
          <w:sz w:val="24"/>
        </w:rPr>
      </w:pPr>
    </w:p>
    <w:p w14:paraId="5990F1BA">
      <w:pPr>
        <w:widowControl/>
        <w:spacing w:before="240" w:after="240"/>
        <w:rPr>
          <w:rFonts w:ascii="Times New Roman" w:hAnsi="Times New Roman" w:eastAsia="Times New Roman" w:cs="Times New Roman"/>
          <w:kern w:val="0"/>
          <w:sz w:val="24"/>
        </w:rPr>
      </w:pPr>
    </w:p>
    <w:p w14:paraId="63385152">
      <w:pPr>
        <w:widowControl/>
        <w:spacing w:before="240" w:after="240"/>
        <w:rPr>
          <w:rFonts w:ascii="Times New Roman" w:hAnsi="Times New Roman" w:eastAsia="Times New Roman" w:cs="Times New Roman"/>
          <w:kern w:val="0"/>
          <w:sz w:val="24"/>
        </w:rPr>
      </w:pPr>
    </w:p>
    <w:p w14:paraId="31DAFE7A">
      <w:pPr>
        <w:widowControl/>
        <w:spacing w:before="240" w:after="240"/>
        <w:rPr>
          <w:rFonts w:ascii="Times New Roman" w:hAnsi="Times New Roman" w:eastAsia="Times New Roman" w:cs="Times New Roman"/>
          <w:kern w:val="0"/>
          <w:sz w:val="24"/>
        </w:rPr>
      </w:pPr>
    </w:p>
    <w:p w14:paraId="01576AA7">
      <w:pPr>
        <w:widowControl/>
        <w:spacing w:before="240" w:after="240"/>
        <w:rPr>
          <w:rFonts w:ascii="Times New Roman" w:hAnsi="Times New Roman" w:eastAsia="Times New Roman" w:cs="Times New Roman"/>
          <w:kern w:val="0"/>
          <w:sz w:val="24"/>
        </w:rPr>
      </w:pPr>
    </w:p>
    <w:p w14:paraId="125FCABF">
      <w:pPr>
        <w:widowControl/>
        <w:spacing w:before="240" w:after="240"/>
        <w:rPr>
          <w:rFonts w:ascii="Times New Roman" w:hAnsi="Times New Roman" w:eastAsia="Times New Roman" w:cs="Times New Roman"/>
          <w:kern w:val="0"/>
          <w:sz w:val="24"/>
        </w:rPr>
      </w:pPr>
    </w:p>
    <w:p w14:paraId="7AA5DF34">
      <w:pPr>
        <w:widowControl/>
        <w:spacing w:before="240" w:after="240"/>
        <w:rPr>
          <w:rFonts w:ascii="Times New Roman" w:hAnsi="Times New Roman" w:eastAsia="Times New Roman" w:cs="Times New Roman"/>
          <w:kern w:val="0"/>
          <w:sz w:val="24"/>
        </w:rPr>
      </w:pPr>
    </w:p>
    <w:p w14:paraId="3E2E627A">
      <w:pPr>
        <w:widowControl/>
        <w:spacing w:before="240" w:after="240"/>
        <w:rPr>
          <w:rFonts w:ascii="Times New Roman" w:hAnsi="Times New Roman" w:eastAsia="Times New Roman" w:cs="Times New Roman"/>
          <w:kern w:val="0"/>
          <w:sz w:val="24"/>
        </w:rPr>
      </w:pPr>
    </w:p>
    <w:p w14:paraId="46BF87D1">
      <w:pPr>
        <w:pStyle w:val="2"/>
        <w:rPr>
          <w:rFonts w:ascii="Times New Roman" w:hAnsi="Times New Roman" w:eastAsia="Times New Roman" w:cs="Times New Roman"/>
          <w:kern w:val="0"/>
          <w:sz w:val="24"/>
        </w:rPr>
      </w:pPr>
    </w:p>
    <w:p w14:paraId="458269B3">
      <w:pPr>
        <w:rPr>
          <w:rFonts w:ascii="Times New Roman" w:hAnsi="Times New Roman" w:eastAsia="Times New Roman" w:cs="Times New Roman"/>
          <w:kern w:val="0"/>
          <w:sz w:val="24"/>
        </w:rPr>
      </w:pPr>
    </w:p>
    <w:p w14:paraId="2C34F0F1">
      <w:pPr>
        <w:pStyle w:val="2"/>
      </w:pPr>
    </w:p>
    <w:p w14:paraId="0C089D8C">
      <w:pPr>
        <w:widowControl/>
        <w:spacing w:before="240" w:after="240"/>
        <w:rPr>
          <w:rFonts w:ascii="Times New Roman" w:hAnsi="Times New Roman" w:eastAsia="Times New Roman" w:cs="Times New Roman"/>
          <w:kern w:val="0"/>
          <w:sz w:val="24"/>
        </w:rPr>
      </w:pPr>
    </w:p>
    <w:p w14:paraId="5BC39D60">
      <w:pPr>
        <w:widowControl/>
        <w:spacing w:before="240" w:after="240"/>
        <w:rPr>
          <w:rFonts w:ascii="Times New Roman" w:hAnsi="Times New Roman" w:eastAsia="Times New Roman" w:cs="Times New Roman"/>
          <w:kern w:val="0"/>
          <w:sz w:val="24"/>
        </w:rPr>
      </w:pPr>
    </w:p>
    <w:p w14:paraId="6A5673BA">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color w:val="000000"/>
          <w:kern w:val="0"/>
          <w:sz w:val="36"/>
          <w:szCs w:val="36"/>
        </w:rPr>
        <w:t xml:space="preserve">第一部分 </w:t>
      </w:r>
      <w:r>
        <w:rPr>
          <w:rFonts w:hint="eastAsia" w:ascii="fang_zheng_xiao_biao_song_ti" w:hAnsi="fang_zheng_xiao_biao_song_ti" w:cs="fang_zheng_xiao_biao_song_ti"/>
          <w:b/>
          <w:bCs/>
          <w:color w:val="000000"/>
          <w:kern w:val="0"/>
          <w:sz w:val="36"/>
          <w:szCs w:val="36"/>
          <w:lang w:eastAsia="zh-CN"/>
        </w:rPr>
        <w:t>单位</w:t>
      </w:r>
      <w:r>
        <w:rPr>
          <w:rFonts w:ascii="fang_zheng_xiao_biao_song_ti" w:hAnsi="fang_zheng_xiao_biao_song_ti" w:eastAsia="fang_zheng_xiao_biao_song_ti" w:cs="fang_zheng_xiao_biao_song_ti"/>
          <w:b/>
          <w:bCs/>
          <w:color w:val="000000"/>
          <w:kern w:val="0"/>
          <w:sz w:val="36"/>
          <w:szCs w:val="36"/>
        </w:rPr>
        <w:t>概况</w:t>
      </w:r>
    </w:p>
    <w:p w14:paraId="05B3B9F7">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6B4914E7">
      <w:pPr>
        <w:pStyle w:val="8"/>
        <w:spacing w:before="273" w:beforeAutospacing="0" w:after="0" w:afterAutospacing="0" w:line="372" w:lineRule="auto"/>
        <w:ind w:right="178" w:firstLine="270" w:firstLineChars="100"/>
        <w:jc w:val="both"/>
        <w:rPr>
          <w:rFonts w:hint="default" w:ascii="Times New Roman" w:hAnsi="Times New Roman" w:eastAsia="仿宋" w:cs="Times New Roman"/>
          <w:spacing w:val="30"/>
          <w:kern w:val="0"/>
          <w:sz w:val="32"/>
          <w:szCs w:val="32"/>
        </w:rPr>
      </w:pPr>
      <w:r>
        <w:rPr>
          <w:rFonts w:ascii="fang_song_gb2312" w:hAnsi="fang_song_gb2312" w:eastAsia="fang_song_gb2312" w:cs="fang_song_gb2312"/>
          <w:color w:val="0E00FE"/>
          <w:kern w:val="0"/>
          <w:sz w:val="27"/>
          <w:szCs w:val="27"/>
        </w:rPr>
        <w:t xml:space="preserve">  </w:t>
      </w:r>
      <w:r>
        <w:rPr>
          <w:rFonts w:hint="default" w:ascii="Times New Roman" w:hAnsi="Times New Roman" w:eastAsia="仿宋" w:cs="Times New Roman"/>
          <w:spacing w:val="30"/>
          <w:kern w:val="0"/>
          <w:sz w:val="32"/>
          <w:szCs w:val="32"/>
        </w:rPr>
        <w:t>(</w:t>
      </w:r>
      <w:r>
        <w:rPr>
          <w:rFonts w:hint="eastAsia" w:ascii="仿宋" w:hAnsi="仿宋" w:eastAsia="仿宋" w:cs="仿宋"/>
          <w:spacing w:val="30"/>
          <w:kern w:val="0"/>
          <w:sz w:val="32"/>
          <w:szCs w:val="32"/>
        </w:rPr>
        <w:t>一）单位职能</w:t>
      </w:r>
    </w:p>
    <w:p w14:paraId="78B9862E">
      <w:pPr>
        <w:pStyle w:val="8"/>
        <w:keepNext w:val="0"/>
        <w:keepLines w:val="0"/>
        <w:pageBreakBefore w:val="0"/>
        <w:kinsoku/>
        <w:wordWrap/>
        <w:overflowPunct/>
        <w:topLinePunct w:val="0"/>
        <w:autoSpaceDN/>
        <w:bidi w:val="0"/>
        <w:adjustRightInd/>
        <w:snapToGrid/>
        <w:spacing w:before="273" w:beforeAutospacing="0" w:after="0" w:afterAutospacing="0" w:line="560" w:lineRule="exact"/>
        <w:ind w:left="31" w:right="178" w:firstLine="626"/>
        <w:jc w:val="both"/>
        <w:textAlignment w:val="auto"/>
        <w:rPr>
          <w:rFonts w:hint="default" w:ascii="Times New Roman" w:hAnsi="Times New Roman" w:eastAsia="仿宋" w:cs="Times New Roman"/>
          <w:kern w:val="0"/>
          <w:sz w:val="32"/>
          <w:szCs w:val="32"/>
        </w:rPr>
      </w:pPr>
      <w:r>
        <w:rPr>
          <w:rFonts w:hint="eastAsia" w:ascii="仿宋" w:hAnsi="仿宋" w:eastAsia="仿宋" w:cs="仿宋"/>
          <w:spacing w:val="30"/>
          <w:kern w:val="0"/>
          <w:sz w:val="32"/>
          <w:szCs w:val="32"/>
        </w:rPr>
        <w:t>根据关于印发《关于包头市口岸服务中心机构职能编制的批</w:t>
      </w:r>
      <w:r>
        <w:rPr>
          <w:rFonts w:hint="eastAsia" w:ascii="仿宋" w:hAnsi="仿宋" w:eastAsia="仿宋" w:cs="仿宋"/>
          <w:spacing w:val="8"/>
          <w:kern w:val="0"/>
          <w:sz w:val="32"/>
          <w:szCs w:val="32"/>
        </w:rPr>
        <w:t>复》的通知</w:t>
      </w:r>
      <w:r>
        <w:rPr>
          <w:rFonts w:hint="default" w:ascii="Times New Roman" w:hAnsi="Times New Roman" w:eastAsia="仿宋" w:cs="Times New Roman"/>
          <w:spacing w:val="8"/>
          <w:kern w:val="0"/>
          <w:sz w:val="32"/>
          <w:szCs w:val="32"/>
        </w:rPr>
        <w:t>(</w:t>
      </w:r>
      <w:r>
        <w:rPr>
          <w:rFonts w:hint="eastAsia" w:ascii="仿宋" w:hAnsi="仿宋" w:eastAsia="仿宋" w:cs="仿宋"/>
          <w:spacing w:val="8"/>
          <w:kern w:val="0"/>
          <w:sz w:val="32"/>
          <w:szCs w:val="32"/>
        </w:rPr>
        <w:t>包机编发〔</w:t>
      </w:r>
      <w:r>
        <w:rPr>
          <w:rFonts w:hint="default" w:ascii="Times New Roman" w:hAnsi="Times New Roman" w:eastAsia="仿宋" w:cs="Times New Roman"/>
          <w:spacing w:val="8"/>
          <w:kern w:val="0"/>
          <w:sz w:val="32"/>
          <w:szCs w:val="32"/>
        </w:rPr>
        <w:t>2021</w:t>
      </w:r>
      <w:r>
        <w:rPr>
          <w:rFonts w:hint="eastAsia" w:ascii="仿宋" w:hAnsi="仿宋" w:eastAsia="仿宋" w:cs="仿宋"/>
          <w:spacing w:val="8"/>
          <w:kern w:val="0"/>
          <w:sz w:val="32"/>
          <w:szCs w:val="32"/>
        </w:rPr>
        <w:t>〕</w:t>
      </w:r>
      <w:r>
        <w:rPr>
          <w:rFonts w:hint="default" w:ascii="Times New Roman" w:hAnsi="Times New Roman" w:eastAsia="仿宋" w:cs="Times New Roman"/>
          <w:spacing w:val="8"/>
          <w:kern w:val="0"/>
          <w:sz w:val="32"/>
          <w:szCs w:val="32"/>
        </w:rPr>
        <w:t>49</w:t>
      </w:r>
      <w:r>
        <w:rPr>
          <w:rFonts w:hint="eastAsia" w:ascii="仿宋" w:hAnsi="仿宋" w:eastAsia="仿宋" w:cs="仿宋"/>
          <w:spacing w:val="8"/>
          <w:kern w:val="0"/>
          <w:sz w:val="32"/>
          <w:szCs w:val="32"/>
        </w:rPr>
        <w:t>号</w:t>
      </w:r>
      <w:r>
        <w:rPr>
          <w:rFonts w:hint="default" w:ascii="Times New Roman" w:hAnsi="Times New Roman" w:eastAsia="仿宋" w:cs="Times New Roman"/>
          <w:spacing w:val="8"/>
          <w:kern w:val="0"/>
          <w:sz w:val="32"/>
          <w:szCs w:val="32"/>
        </w:rPr>
        <w:t>)</w:t>
      </w:r>
      <w:r>
        <w:rPr>
          <w:rFonts w:hint="eastAsia" w:ascii="仿宋" w:hAnsi="仿宋" w:eastAsia="仿宋" w:cs="仿宋"/>
          <w:spacing w:val="8"/>
          <w:kern w:val="0"/>
          <w:sz w:val="32"/>
          <w:szCs w:val="32"/>
        </w:rPr>
        <w:t>，设立包头市口岸服务中心，</w:t>
      </w:r>
      <w:r>
        <w:rPr>
          <w:rFonts w:hint="eastAsia" w:ascii="仿宋" w:hAnsi="仿宋" w:eastAsia="仿宋" w:cs="仿宋"/>
          <w:spacing w:val="30"/>
          <w:kern w:val="0"/>
          <w:sz w:val="32"/>
          <w:szCs w:val="32"/>
        </w:rPr>
        <w:t>为包头市商务局二级单位。</w:t>
      </w:r>
    </w:p>
    <w:p w14:paraId="3401C8A0">
      <w:pPr>
        <w:keepNext w:val="0"/>
        <w:keepLines w:val="0"/>
        <w:pageBreakBefore w:val="0"/>
        <w:kinsoku/>
        <w:wordWrap/>
        <w:overflowPunct/>
        <w:topLinePunct w:val="0"/>
        <w:autoSpaceDN/>
        <w:bidi w:val="0"/>
        <w:adjustRightInd/>
        <w:snapToGrid/>
        <w:spacing w:before="209" w:beforeAutospacing="0" w:after="0" w:afterAutospacing="0" w:line="560" w:lineRule="exact"/>
        <w:ind w:left="631" w:right="0"/>
        <w:jc w:val="both"/>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pacing w:val="18"/>
          <w:kern w:val="0"/>
          <w:position w:val="-1"/>
          <w:sz w:val="32"/>
          <w:szCs w:val="32"/>
        </w:rPr>
        <w:t>(</w:t>
      </w:r>
      <w:r>
        <w:rPr>
          <w:rFonts w:hint="eastAsia" w:ascii="仿宋" w:hAnsi="仿宋" w:eastAsia="仿宋" w:cs="仿宋"/>
          <w:spacing w:val="18"/>
          <w:kern w:val="0"/>
          <w:position w:val="-1"/>
          <w:sz w:val="32"/>
          <w:szCs w:val="32"/>
        </w:rPr>
        <w:t>二</w:t>
      </w:r>
      <w:r>
        <w:rPr>
          <w:rFonts w:hint="default" w:ascii="Times New Roman" w:hAnsi="Times New Roman" w:eastAsia="仿宋" w:cs="Times New Roman"/>
          <w:spacing w:val="18"/>
          <w:kern w:val="0"/>
          <w:position w:val="-1"/>
          <w:sz w:val="32"/>
          <w:szCs w:val="32"/>
        </w:rPr>
        <w:t>)</w:t>
      </w:r>
      <w:r>
        <w:rPr>
          <w:rFonts w:hint="eastAsia" w:ascii="仿宋" w:hAnsi="仿宋" w:eastAsia="仿宋" w:cs="仿宋"/>
          <w:spacing w:val="18"/>
          <w:kern w:val="0"/>
          <w:position w:val="-1"/>
          <w:sz w:val="32"/>
          <w:szCs w:val="32"/>
        </w:rPr>
        <w:t>单位主要职责</w:t>
      </w:r>
    </w:p>
    <w:p w14:paraId="3D9A0CCF">
      <w:pPr>
        <w:keepNext w:val="0"/>
        <w:keepLines w:val="0"/>
        <w:pageBreakBefore w:val="0"/>
        <w:widowControl w:val="0"/>
        <w:kinsoku/>
        <w:wordWrap/>
        <w:overflowPunct/>
        <w:topLinePunct w:val="0"/>
        <w:autoSpaceDE w:val="0"/>
        <w:autoSpaceDN/>
        <w:bidi w:val="0"/>
        <w:adjustRightInd/>
        <w:snapToGrid/>
        <w:spacing w:before="253" w:beforeAutospacing="0" w:after="0" w:afterAutospacing="0" w:line="560" w:lineRule="exact"/>
        <w:ind w:left="680" w:right="0"/>
        <w:jc w:val="both"/>
        <w:textAlignment w:val="auto"/>
        <w:rPr>
          <w:rFonts w:hint="default" w:ascii="Times New Roman" w:hAnsi="Times New Roman" w:eastAsia="仿宋" w:cs="Times New Roman"/>
          <w:kern w:val="0"/>
          <w:sz w:val="32"/>
          <w:szCs w:val="32"/>
        </w:rPr>
      </w:pPr>
      <w:r>
        <w:rPr>
          <w:rFonts w:hint="eastAsia" w:ascii="仿宋" w:hAnsi="仿宋" w:eastAsia="仿宋" w:cs="仿宋"/>
          <w:spacing w:val="6"/>
          <w:kern w:val="0"/>
          <w:sz w:val="32"/>
          <w:szCs w:val="32"/>
        </w:rPr>
        <w:t>主要职责有：</w:t>
      </w:r>
    </w:p>
    <w:p w14:paraId="1B724726">
      <w:pPr>
        <w:keepNext w:val="0"/>
        <w:keepLines w:val="0"/>
        <w:pageBreakBefore w:val="0"/>
        <w:widowControl w:val="0"/>
        <w:kinsoku/>
        <w:wordWrap/>
        <w:overflowPunct/>
        <w:topLinePunct w:val="0"/>
        <w:autoSpaceDE w:val="0"/>
        <w:autoSpaceDN/>
        <w:bidi w:val="0"/>
        <w:adjustRightInd/>
        <w:snapToGrid/>
        <w:spacing w:before="238" w:beforeAutospacing="0" w:line="560" w:lineRule="exact"/>
        <w:ind w:left="0" w:firstLine="628" w:firstLineChars="200"/>
        <w:jc w:val="both"/>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pacing w:val="-3"/>
          <w:kern w:val="0"/>
          <w:position w:val="22"/>
          <w:sz w:val="32"/>
          <w:szCs w:val="32"/>
        </w:rPr>
        <w:t>1.</w:t>
      </w:r>
      <w:r>
        <w:rPr>
          <w:rFonts w:hint="eastAsia" w:ascii="仿宋" w:hAnsi="仿宋" w:eastAsia="仿宋" w:cs="仿宋"/>
          <w:spacing w:val="-3"/>
          <w:kern w:val="0"/>
          <w:position w:val="22"/>
          <w:sz w:val="32"/>
          <w:szCs w:val="32"/>
        </w:rPr>
        <w:t>负责监测分析口岸数据，按照自治区要求上报数据。</w:t>
      </w:r>
    </w:p>
    <w:p w14:paraId="39023056">
      <w:pPr>
        <w:keepNext w:val="0"/>
        <w:keepLines w:val="0"/>
        <w:pageBreakBefore w:val="0"/>
        <w:widowControl w:val="0"/>
        <w:kinsoku/>
        <w:wordWrap/>
        <w:overflowPunct/>
        <w:topLinePunct w:val="0"/>
        <w:autoSpaceDE w:val="0"/>
        <w:autoSpaceDN/>
        <w:bidi w:val="0"/>
        <w:adjustRightInd/>
        <w:snapToGrid/>
        <w:spacing w:before="1" w:beforeAutospacing="0" w:line="560" w:lineRule="exact"/>
        <w:ind w:left="0" w:firstLine="648" w:firstLineChars="200"/>
        <w:jc w:val="both"/>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pacing w:val="2"/>
          <w:kern w:val="0"/>
          <w:sz w:val="32"/>
          <w:szCs w:val="32"/>
        </w:rPr>
        <w:t>2.</w:t>
      </w:r>
      <w:r>
        <w:rPr>
          <w:rFonts w:hint="eastAsia" w:ascii="仿宋" w:hAnsi="仿宋" w:eastAsia="仿宋" w:cs="仿宋"/>
          <w:spacing w:val="2"/>
          <w:kern w:val="0"/>
          <w:sz w:val="32"/>
          <w:szCs w:val="32"/>
        </w:rPr>
        <w:t>配合局机关提出推动发展口岸经济的政策建议。</w:t>
      </w:r>
    </w:p>
    <w:p w14:paraId="4861E268">
      <w:pPr>
        <w:keepNext w:val="0"/>
        <w:keepLines w:val="0"/>
        <w:pageBreakBefore w:val="0"/>
        <w:widowControl w:val="0"/>
        <w:kinsoku/>
        <w:wordWrap/>
        <w:overflowPunct/>
        <w:topLinePunct w:val="0"/>
        <w:autoSpaceDE w:val="0"/>
        <w:autoSpaceDN/>
        <w:bidi w:val="0"/>
        <w:adjustRightInd/>
        <w:snapToGrid/>
        <w:spacing w:before="234" w:beforeAutospacing="0" w:after="0" w:afterAutospacing="0" w:line="560" w:lineRule="exact"/>
        <w:ind w:left="0" w:right="302" w:firstLine="624" w:firstLineChars="200"/>
        <w:jc w:val="both"/>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pacing w:val="-4"/>
          <w:kern w:val="0"/>
          <w:sz w:val="32"/>
          <w:szCs w:val="32"/>
        </w:rPr>
        <w:t>3.</w:t>
      </w:r>
      <w:r>
        <w:rPr>
          <w:rFonts w:hint="eastAsia" w:ascii="仿宋" w:hAnsi="仿宋" w:eastAsia="仿宋" w:cs="仿宋"/>
          <w:spacing w:val="-4"/>
          <w:kern w:val="0"/>
          <w:sz w:val="32"/>
          <w:szCs w:val="32"/>
        </w:rPr>
        <w:t>协助局机关组织推动口岸</w:t>
      </w:r>
      <w:r>
        <w:rPr>
          <w:rFonts w:hint="default" w:ascii="Times New Roman" w:hAnsi="Times New Roman" w:eastAsia="仿宋" w:cs="Times New Roman"/>
          <w:spacing w:val="-4"/>
          <w:kern w:val="0"/>
          <w:sz w:val="32"/>
          <w:szCs w:val="32"/>
        </w:rPr>
        <w:t>“</w:t>
      </w:r>
      <w:r>
        <w:rPr>
          <w:rFonts w:hint="eastAsia" w:ascii="仿宋" w:hAnsi="仿宋" w:eastAsia="仿宋" w:cs="仿宋"/>
          <w:spacing w:val="-4"/>
          <w:kern w:val="0"/>
          <w:sz w:val="32"/>
          <w:szCs w:val="32"/>
        </w:rPr>
        <w:t>大通关</w:t>
      </w:r>
      <w:r>
        <w:rPr>
          <w:rFonts w:hint="default" w:ascii="Times New Roman" w:hAnsi="Times New Roman" w:eastAsia="仿宋" w:cs="Times New Roman"/>
          <w:spacing w:val="-4"/>
          <w:kern w:val="0"/>
          <w:sz w:val="32"/>
          <w:szCs w:val="32"/>
        </w:rPr>
        <w:t>”</w:t>
      </w:r>
      <w:r>
        <w:rPr>
          <w:rFonts w:hint="eastAsia" w:ascii="仿宋" w:hAnsi="仿宋" w:eastAsia="仿宋" w:cs="仿宋"/>
          <w:spacing w:val="-4"/>
          <w:kern w:val="0"/>
          <w:sz w:val="32"/>
          <w:szCs w:val="32"/>
        </w:rPr>
        <w:t>建设、优</w:t>
      </w:r>
      <w:r>
        <w:rPr>
          <w:rFonts w:hint="eastAsia" w:ascii="仿宋" w:hAnsi="仿宋" w:eastAsia="仿宋" w:cs="仿宋"/>
          <w:spacing w:val="-5"/>
          <w:kern w:val="0"/>
          <w:sz w:val="32"/>
          <w:szCs w:val="32"/>
        </w:rPr>
        <w:t>化口岸营商环境、</w:t>
      </w:r>
      <w:r>
        <w:rPr>
          <w:rFonts w:hint="eastAsia" w:ascii="仿宋" w:hAnsi="仿宋" w:eastAsia="仿宋" w:cs="仿宋"/>
          <w:spacing w:val="20"/>
          <w:kern w:val="0"/>
          <w:sz w:val="32"/>
          <w:szCs w:val="32"/>
        </w:rPr>
        <w:t>协调口岸通关中各部门的工作关系，配合做好口岸通关服务工作。</w:t>
      </w:r>
    </w:p>
    <w:p w14:paraId="4FFF5833">
      <w:pPr>
        <w:keepNext w:val="0"/>
        <w:keepLines w:val="0"/>
        <w:pageBreakBefore w:val="0"/>
        <w:widowControl w:val="0"/>
        <w:kinsoku/>
        <w:wordWrap/>
        <w:overflowPunct/>
        <w:topLinePunct w:val="0"/>
        <w:autoSpaceDE w:val="0"/>
        <w:autoSpaceDN/>
        <w:bidi w:val="0"/>
        <w:adjustRightInd/>
        <w:snapToGrid/>
        <w:spacing w:before="77" w:beforeAutospacing="0" w:line="560" w:lineRule="exact"/>
        <w:ind w:left="0" w:firstLine="692" w:firstLineChars="200"/>
        <w:jc w:val="both"/>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pacing w:val="13"/>
          <w:kern w:val="0"/>
          <w:position w:val="21"/>
          <w:sz w:val="32"/>
          <w:szCs w:val="32"/>
        </w:rPr>
        <w:t>4.</w:t>
      </w:r>
      <w:r>
        <w:rPr>
          <w:rFonts w:hint="eastAsia" w:ascii="仿宋" w:hAnsi="仿宋" w:eastAsia="仿宋" w:cs="仿宋"/>
          <w:spacing w:val="13"/>
          <w:kern w:val="0"/>
          <w:position w:val="21"/>
          <w:sz w:val="32"/>
          <w:szCs w:val="32"/>
        </w:rPr>
        <w:t>配合局机关做好口岸区域公共安全时间应急处置的相关工</w:t>
      </w:r>
      <w:r>
        <w:rPr>
          <w:rFonts w:hint="eastAsia" w:ascii="仿宋" w:hAnsi="仿宋" w:eastAsia="仿宋" w:cs="仿宋"/>
          <w:spacing w:val="12"/>
          <w:kern w:val="0"/>
          <w:position w:val="21"/>
          <w:sz w:val="32"/>
          <w:szCs w:val="32"/>
        </w:rPr>
        <w:t>作。</w:t>
      </w:r>
    </w:p>
    <w:p w14:paraId="69F37A7E">
      <w:pPr>
        <w:keepNext w:val="0"/>
        <w:keepLines w:val="0"/>
        <w:pageBreakBefore w:val="0"/>
        <w:widowControl w:val="0"/>
        <w:kinsoku/>
        <w:wordWrap/>
        <w:overflowPunct/>
        <w:topLinePunct w:val="0"/>
        <w:autoSpaceDE w:val="0"/>
        <w:autoSpaceDN/>
        <w:bidi w:val="0"/>
        <w:adjustRightInd/>
        <w:snapToGrid/>
        <w:spacing w:line="560" w:lineRule="exact"/>
        <w:ind w:left="0" w:firstLine="640" w:firstLineChars="200"/>
        <w:jc w:val="both"/>
        <w:textAlignment w:val="auto"/>
        <w:rPr>
          <w:rFonts w:ascii="Times New Roman" w:hAnsi="Times New Roman" w:eastAsia="Times New Roman" w:cs="Times New Roman"/>
          <w:kern w:val="0"/>
          <w:sz w:val="24"/>
        </w:rPr>
      </w:pPr>
      <w:r>
        <w:rPr>
          <w:rFonts w:hint="default" w:ascii="Times New Roman" w:hAnsi="Times New Roman" w:eastAsia="仿宋" w:cs="Times New Roman"/>
          <w:kern w:val="0"/>
          <w:sz w:val="32"/>
          <w:szCs w:val="32"/>
        </w:rPr>
        <w:t>5.</w:t>
      </w:r>
      <w:r>
        <w:rPr>
          <w:rFonts w:hint="eastAsia" w:ascii="仿宋" w:hAnsi="仿宋" w:eastAsia="仿宋" w:cs="仿宋"/>
          <w:kern w:val="0"/>
          <w:sz w:val="32"/>
          <w:szCs w:val="32"/>
        </w:rPr>
        <w:t>承担市商务局交办的其他相关工作。</w:t>
      </w:r>
    </w:p>
    <w:p w14:paraId="2BDE6EDF">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w:t>
      </w:r>
      <w:r>
        <w:rPr>
          <w:rFonts w:hint="eastAsia" w:ascii="黑体" w:hAnsi="黑体" w:eastAsia="黑体" w:cs="黑体"/>
          <w:b/>
          <w:bCs/>
          <w:kern w:val="0"/>
          <w:sz w:val="27"/>
          <w:szCs w:val="27"/>
          <w:lang w:eastAsia="zh-CN"/>
        </w:rPr>
        <w:t>单位</w:t>
      </w:r>
      <w:r>
        <w:rPr>
          <w:rFonts w:ascii="黑体" w:hAnsi="黑体" w:eastAsia="黑体" w:cs="黑体"/>
          <w:b/>
          <w:bCs/>
          <w:kern w:val="0"/>
          <w:sz w:val="27"/>
          <w:szCs w:val="27"/>
        </w:rPr>
        <w:t>机构设置及决算单位构成情况</w:t>
      </w:r>
    </w:p>
    <w:p w14:paraId="22C0BD85">
      <w:pPr>
        <w:spacing w:before="0" w:beforeAutospacing="1" w:after="0" w:afterAutospacing="1" w:line="360" w:lineRule="auto"/>
        <w:ind w:left="0"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w:t>
      </w:r>
      <w:r>
        <w:rPr>
          <w:rFonts w:hint="eastAsia" w:ascii="仿宋" w:hAnsi="仿宋" w:eastAsia="仿宋" w:cs="仿宋"/>
          <w:kern w:val="0"/>
          <w:sz w:val="32"/>
          <w:szCs w:val="32"/>
        </w:rPr>
        <w:t>根据单位职责分工，本单位内设机构包括办公室、港务科、通关协调科。本单位无下属单位。</w:t>
      </w:r>
    </w:p>
    <w:p w14:paraId="0B8FBC8D">
      <w:pPr>
        <w:spacing w:before="0" w:beforeAutospacing="1" w:after="0" w:afterAutospacing="1" w:line="360" w:lineRule="auto"/>
        <w:ind w:left="0"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w:t>
      </w:r>
      <w:r>
        <w:rPr>
          <w:rFonts w:hint="eastAsia" w:ascii="仿宋" w:hAnsi="仿宋" w:eastAsia="仿宋" w:cs="仿宋"/>
          <w:kern w:val="0"/>
          <w:sz w:val="32"/>
          <w:szCs w:val="32"/>
        </w:rPr>
        <w:t>从决算单位构成看，纳入本财政汇总决算编制范围的预算单位共计</w:t>
      </w:r>
      <w:r>
        <w:rPr>
          <w:rFonts w:hint="default" w:ascii="Times New Roman" w:hAnsi="Times New Roman" w:eastAsia="仿宋" w:cs="Times New Roman"/>
          <w:kern w:val="0"/>
          <w:sz w:val="32"/>
          <w:szCs w:val="32"/>
        </w:rPr>
        <w:t>1</w:t>
      </w:r>
      <w:r>
        <w:rPr>
          <w:rFonts w:hint="eastAsia" w:ascii="仿宋" w:hAnsi="仿宋" w:eastAsia="仿宋" w:cs="仿宋"/>
          <w:kern w:val="0"/>
          <w:sz w:val="32"/>
          <w:szCs w:val="32"/>
        </w:rPr>
        <w:t>家，具体包括：</w:t>
      </w:r>
      <w:r>
        <w:rPr>
          <w:rFonts w:hint="eastAsia" w:ascii="仿宋" w:hAnsi="仿宋" w:eastAsia="仿宋" w:cs="仿宋"/>
          <w:spacing w:val="8"/>
          <w:kern w:val="0"/>
          <w:sz w:val="32"/>
          <w:szCs w:val="32"/>
        </w:rPr>
        <w:t>包头市口岸服务中心。</w:t>
      </w:r>
      <w:r>
        <w:rPr>
          <w:rFonts w:hint="eastAsia" w:ascii="仿宋" w:hAnsi="仿宋" w:eastAsia="仿宋" w:cs="仿宋"/>
          <w:kern w:val="0"/>
          <w:sz w:val="32"/>
          <w:szCs w:val="32"/>
        </w:rPr>
        <w:t>详细情况见表：</w:t>
      </w:r>
    </w:p>
    <w:tbl>
      <w:tblPr>
        <w:tblStyle w:val="22"/>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67"/>
        <w:gridCol w:w="4680"/>
        <w:gridCol w:w="3612"/>
      </w:tblGrid>
      <w:tr w14:paraId="2EE2BE0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75" w:hRule="atLeast"/>
        </w:trPr>
        <w:tc>
          <w:tcPr>
            <w:tcW w:w="136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056E0BEF">
            <w:pPr>
              <w:spacing w:before="0" w:beforeAutospacing="1" w:after="0" w:afterAutospacing="1"/>
              <w:jc w:val="center"/>
              <w:rPr>
                <w:rFonts w:hint="default" w:ascii="Times New Roman" w:hAnsi="Times New Roman" w:eastAsia="仿宋" w:cs="Times New Roman"/>
                <w:kern w:val="0"/>
                <w:sz w:val="32"/>
                <w:szCs w:val="32"/>
              </w:rPr>
            </w:pPr>
            <w:r>
              <w:rPr>
                <w:rFonts w:hint="eastAsia" w:ascii="仿宋" w:hAnsi="仿宋" w:eastAsia="仿宋" w:cs="仿宋"/>
                <w:color w:val="000000"/>
                <w:kern w:val="0"/>
                <w:sz w:val="32"/>
                <w:szCs w:val="32"/>
              </w:rPr>
              <w:t>序号</w:t>
            </w:r>
          </w:p>
        </w:tc>
        <w:tc>
          <w:tcPr>
            <w:tcW w:w="4680"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554AFD90">
            <w:pPr>
              <w:spacing w:before="0" w:beforeAutospacing="1" w:after="0" w:afterAutospacing="1"/>
              <w:jc w:val="center"/>
              <w:rPr>
                <w:rFonts w:hint="default" w:ascii="Times New Roman" w:hAnsi="Times New Roman" w:eastAsia="仿宋" w:cs="Times New Roman"/>
                <w:kern w:val="0"/>
                <w:sz w:val="32"/>
                <w:szCs w:val="32"/>
              </w:rPr>
            </w:pPr>
            <w:r>
              <w:rPr>
                <w:rFonts w:hint="eastAsia" w:ascii="仿宋" w:hAnsi="仿宋" w:eastAsia="仿宋" w:cs="仿宋"/>
                <w:color w:val="000000"/>
                <w:kern w:val="0"/>
                <w:sz w:val="32"/>
                <w:szCs w:val="32"/>
              </w:rPr>
              <w:t>单位名称</w:t>
            </w:r>
          </w:p>
        </w:tc>
        <w:tc>
          <w:tcPr>
            <w:tcW w:w="3612"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598BFB69">
            <w:pPr>
              <w:spacing w:before="0" w:beforeAutospacing="1" w:after="0" w:afterAutospacing="1"/>
              <w:jc w:val="center"/>
              <w:rPr>
                <w:rFonts w:hint="default" w:ascii="Times New Roman" w:hAnsi="Times New Roman" w:eastAsia="仿宋" w:cs="Times New Roman"/>
                <w:kern w:val="0"/>
                <w:sz w:val="32"/>
                <w:szCs w:val="32"/>
              </w:rPr>
            </w:pPr>
            <w:r>
              <w:rPr>
                <w:rFonts w:hint="eastAsia" w:ascii="仿宋" w:hAnsi="仿宋" w:eastAsia="仿宋" w:cs="仿宋"/>
                <w:color w:val="000000"/>
                <w:kern w:val="0"/>
                <w:sz w:val="32"/>
                <w:szCs w:val="32"/>
              </w:rPr>
              <w:t>单位性质</w:t>
            </w:r>
          </w:p>
        </w:tc>
      </w:tr>
      <w:tr w14:paraId="30F774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03" w:hRule="atLeast"/>
        </w:trPr>
        <w:tc>
          <w:tcPr>
            <w:tcW w:w="1367"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9CD1A71">
            <w:pPr>
              <w:spacing w:before="0" w:beforeAutospacing="1" w:after="0" w:afterAutospacing="1"/>
              <w:jc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000000"/>
                <w:kern w:val="0"/>
                <w:sz w:val="32"/>
                <w:szCs w:val="32"/>
              </w:rPr>
              <w:t>1</w:t>
            </w:r>
          </w:p>
        </w:tc>
        <w:tc>
          <w:tcPr>
            <w:tcW w:w="4680" w:type="dxa"/>
            <w:tcBorders>
              <w:top w:val="nil"/>
              <w:left w:val="nil"/>
              <w:bottom w:val="single" w:color="auto" w:sz="8" w:space="0"/>
              <w:right w:val="single" w:color="auto" w:sz="8" w:space="0"/>
            </w:tcBorders>
            <w:shd w:val="clear" w:color="auto" w:fill="auto"/>
            <w:tcMar>
              <w:left w:w="108" w:type="dxa"/>
              <w:right w:w="108" w:type="dxa"/>
            </w:tcMar>
            <w:vAlign w:val="top"/>
          </w:tcPr>
          <w:p w14:paraId="1DA519B1">
            <w:pPr>
              <w:spacing w:before="0" w:beforeAutospacing="1" w:after="0" w:afterAutospacing="1"/>
              <w:jc w:val="center"/>
              <w:rPr>
                <w:rFonts w:hint="default" w:ascii="Times New Roman" w:hAnsi="Times New Roman" w:eastAsia="仿宋" w:cs="Times New Roman"/>
                <w:kern w:val="0"/>
                <w:sz w:val="32"/>
                <w:szCs w:val="32"/>
              </w:rPr>
            </w:pPr>
            <w:r>
              <w:rPr>
                <w:rFonts w:hint="eastAsia" w:ascii="仿宋" w:hAnsi="仿宋" w:eastAsia="仿宋" w:cs="仿宋"/>
                <w:spacing w:val="-2"/>
                <w:kern w:val="0"/>
                <w:sz w:val="32"/>
                <w:szCs w:val="32"/>
              </w:rPr>
              <w:t>包头市口岸服务中心</w:t>
            </w:r>
          </w:p>
        </w:tc>
        <w:tc>
          <w:tcPr>
            <w:tcW w:w="3612" w:type="dxa"/>
            <w:tcBorders>
              <w:top w:val="nil"/>
              <w:left w:val="nil"/>
              <w:bottom w:val="single" w:color="auto" w:sz="8" w:space="0"/>
              <w:right w:val="single" w:color="auto" w:sz="8" w:space="0"/>
            </w:tcBorders>
            <w:shd w:val="clear" w:color="auto" w:fill="auto"/>
            <w:tcMar>
              <w:left w:w="108" w:type="dxa"/>
              <w:right w:w="108" w:type="dxa"/>
            </w:tcMar>
            <w:vAlign w:val="top"/>
          </w:tcPr>
          <w:p w14:paraId="2B5FC631">
            <w:pPr>
              <w:spacing w:before="0" w:beforeAutospacing="1" w:after="0" w:afterAutospacing="1"/>
              <w:jc w:val="center"/>
              <w:rPr>
                <w:rFonts w:hint="default" w:ascii="Times New Roman" w:hAnsi="Times New Roman" w:eastAsia="仿宋" w:cs="Times New Roman"/>
                <w:kern w:val="0"/>
                <w:sz w:val="32"/>
                <w:szCs w:val="32"/>
              </w:rPr>
            </w:pPr>
            <w:r>
              <w:rPr>
                <w:rFonts w:hint="eastAsia" w:ascii="仿宋" w:hAnsi="仿宋" w:eastAsia="仿宋" w:cs="仿宋"/>
                <w:color w:val="000000"/>
                <w:kern w:val="0"/>
                <w:sz w:val="32"/>
                <w:szCs w:val="32"/>
              </w:rPr>
              <w:t>公益一类事业单位</w:t>
            </w:r>
          </w:p>
        </w:tc>
      </w:tr>
    </w:tbl>
    <w:p w14:paraId="12DB2984">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三、2023年度</w:t>
      </w:r>
      <w:r>
        <w:rPr>
          <w:rFonts w:hint="eastAsia" w:ascii="黑体" w:hAnsi="黑体" w:eastAsia="黑体" w:cs="黑体"/>
          <w:b/>
          <w:bCs/>
          <w:kern w:val="0"/>
          <w:sz w:val="27"/>
          <w:szCs w:val="27"/>
          <w:lang w:eastAsia="zh-CN"/>
        </w:rPr>
        <w:t>单位</w:t>
      </w:r>
      <w:r>
        <w:rPr>
          <w:rFonts w:ascii="黑体" w:hAnsi="黑体" w:eastAsia="黑体" w:cs="黑体"/>
          <w:b/>
          <w:bCs/>
          <w:kern w:val="0"/>
          <w:sz w:val="27"/>
          <w:szCs w:val="27"/>
        </w:rPr>
        <w:t>主要工作完成情况</w:t>
      </w:r>
    </w:p>
    <w:p w14:paraId="0AE8E9B3">
      <w:pPr>
        <w:pStyle w:val="20"/>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2023年，自治区口岸办下达满都拉口岸过货目标为“确保完成480万吨，力争达到550万吨”。</w:t>
      </w:r>
      <w:r>
        <w:rPr>
          <w:rFonts w:hint="eastAsia" w:ascii="仿宋" w:hAnsi="仿宋" w:eastAsia="仿宋" w:cs="仿宋"/>
          <w:kern w:val="0"/>
          <w:sz w:val="32"/>
          <w:szCs w:val="32"/>
          <w:lang w:val="en-US" w:eastAsia="zh-CN" w:bidi="ar-SA"/>
        </w:rPr>
        <w:t>为了完成任务我中心积极</w:t>
      </w:r>
      <w:r>
        <w:rPr>
          <w:rFonts w:hint="default" w:ascii="仿宋" w:hAnsi="仿宋" w:eastAsia="仿宋" w:cs="仿宋"/>
          <w:kern w:val="0"/>
          <w:sz w:val="32"/>
          <w:szCs w:val="32"/>
          <w:lang w:val="en-US" w:eastAsia="zh-CN" w:bidi="ar-SA"/>
        </w:rPr>
        <w:t>协调</w:t>
      </w:r>
      <w:r>
        <w:rPr>
          <w:rFonts w:hint="eastAsia" w:ascii="仿宋" w:hAnsi="仿宋" w:eastAsia="仿宋" w:cs="仿宋"/>
          <w:kern w:val="0"/>
          <w:sz w:val="32"/>
          <w:szCs w:val="32"/>
          <w:lang w:val="en-US" w:eastAsia="zh-CN" w:bidi="ar-SA"/>
        </w:rPr>
        <w:t>海关、边检等联检单位放弃午休，努力延长通关时间</w:t>
      </w:r>
      <w:r>
        <w:rPr>
          <w:rFonts w:hint="default" w:ascii="仿宋" w:hAnsi="仿宋" w:eastAsia="仿宋" w:cs="仿宋"/>
          <w:kern w:val="0"/>
          <w:sz w:val="32"/>
          <w:szCs w:val="32"/>
          <w:lang w:val="en-US" w:eastAsia="zh-CN" w:bidi="ar-SA"/>
        </w:rPr>
        <w:t>，延用</w:t>
      </w:r>
      <w:r>
        <w:rPr>
          <w:rFonts w:hint="eastAsia" w:ascii="仿宋" w:hAnsi="仿宋" w:eastAsia="仿宋" w:cs="仿宋"/>
          <w:kern w:val="0"/>
          <w:sz w:val="32"/>
          <w:szCs w:val="32"/>
          <w:lang w:val="en-US" w:eastAsia="zh-CN" w:bidi="ar-SA"/>
        </w:rPr>
        <w:t>周六开放，每日8:00-20:00</w:t>
      </w:r>
      <w:r>
        <w:rPr>
          <w:rFonts w:hint="default" w:ascii="仿宋" w:hAnsi="仿宋" w:eastAsia="仿宋" w:cs="仿宋"/>
          <w:kern w:val="0"/>
          <w:sz w:val="32"/>
          <w:szCs w:val="32"/>
          <w:lang w:val="en-US" w:eastAsia="zh-CN" w:bidi="ar-SA"/>
        </w:rPr>
        <w:t>的通关时间，</w:t>
      </w:r>
      <w:r>
        <w:rPr>
          <w:rFonts w:hint="eastAsia" w:ascii="仿宋" w:hAnsi="仿宋" w:eastAsia="仿宋" w:cs="仿宋"/>
          <w:kern w:val="0"/>
          <w:sz w:val="32"/>
          <w:szCs w:val="32"/>
          <w:lang w:val="en-US" w:eastAsia="zh-CN" w:bidi="ar-SA"/>
        </w:rPr>
        <w:t>最大限度保障</w:t>
      </w:r>
      <w:r>
        <w:rPr>
          <w:rFonts w:hint="default" w:ascii="仿宋" w:hAnsi="仿宋" w:eastAsia="仿宋" w:cs="仿宋"/>
          <w:kern w:val="0"/>
          <w:sz w:val="32"/>
          <w:szCs w:val="32"/>
          <w:lang w:val="en-US" w:eastAsia="zh-CN" w:bidi="ar-SA"/>
        </w:rPr>
        <w:t>满都拉口岸</w:t>
      </w:r>
      <w:r>
        <w:rPr>
          <w:rFonts w:hint="eastAsia" w:ascii="仿宋" w:hAnsi="仿宋" w:eastAsia="仿宋" w:cs="仿宋"/>
          <w:kern w:val="0"/>
          <w:sz w:val="32"/>
          <w:szCs w:val="32"/>
          <w:lang w:val="en-US" w:eastAsia="zh-CN" w:bidi="ar-SA"/>
        </w:rPr>
        <w:t>作业</w:t>
      </w:r>
      <w:r>
        <w:rPr>
          <w:rFonts w:hint="default" w:ascii="仿宋" w:hAnsi="仿宋" w:eastAsia="仿宋" w:cs="仿宋"/>
          <w:kern w:val="0"/>
          <w:sz w:val="32"/>
          <w:szCs w:val="32"/>
          <w:lang w:val="en-US" w:eastAsia="zh-CN" w:bidi="ar-SA"/>
        </w:rPr>
        <w:t>，提升货运量。通关模式由集装箱吊装模式改为</w:t>
      </w:r>
      <w:r>
        <w:rPr>
          <w:rFonts w:hint="eastAsia" w:ascii="仿宋" w:hAnsi="仿宋" w:eastAsia="仿宋" w:cs="仿宋"/>
          <w:kern w:val="0"/>
          <w:sz w:val="32"/>
          <w:szCs w:val="32"/>
          <w:lang w:val="en-US" w:eastAsia="zh-CN" w:bidi="ar-SA"/>
        </w:rPr>
        <w:t>直通模式。针对过货量进行每日调度，十月以来组织安排值班人员，通过视频监控平台，实现了满都拉口岸从运输、卡口、通道以及车辆、货物的“进、出、转、存”进行实时动态监控调度，及时发现通关流程中的堵点，及时沟通解决难点，大大提高了通关效率。11月2日满都拉口岸单日过货量达3.6万吨，创满都拉口岸单日过货量新高。截止12月26日，满都拉口岸进出境货运量511.45万吨，同比增长64.9%，全年预计数为515万吨。</w:t>
      </w:r>
    </w:p>
    <w:p w14:paraId="0057D3F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满都拉口岸投资27亿元建设重点项目8个，其中新建类项目5个，续建类项目3个，包括满都拉口岸铁路物流园区、海关监管仓库、满都拉口岸智能物流园区（一期）、国际公路物流园区服务区、口岸智慧化物流园区建设项目、口岸货运通道扩建工程、口岸公路物流园区道路及管网建设及查验换装场地建设等，目前各项目正在按计划有序推进，项目建成后将极大提高满都拉口岸基础建设水平，可增加静态仓储能力100万吨，满足2000万吨货物周转能力，为口岸发展奠定坚实的基础。</w:t>
      </w:r>
    </w:p>
    <w:p w14:paraId="107D9E93">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kern w:val="0"/>
          <w:sz w:val="32"/>
          <w:szCs w:val="32"/>
          <w:lang w:val="en-US" w:eastAsia="zh-CN" w:bidi="ar-SA"/>
        </w:rPr>
      </w:pPr>
      <w:r>
        <w:rPr>
          <w:rFonts w:hint="default" w:ascii="仿宋" w:hAnsi="仿宋" w:eastAsia="仿宋" w:cs="仿宋"/>
          <w:kern w:val="0"/>
          <w:sz w:val="32"/>
          <w:szCs w:val="32"/>
          <w:lang w:val="en" w:eastAsia="zh-CN" w:bidi="ar-SA"/>
        </w:rPr>
        <w:t>满都拉口岸跨境铁路建设内容</w:t>
      </w:r>
      <w:r>
        <w:rPr>
          <w:rFonts w:hint="eastAsia" w:ascii="仿宋" w:hAnsi="仿宋" w:eastAsia="仿宋" w:cs="仿宋"/>
          <w:kern w:val="0"/>
          <w:sz w:val="32"/>
          <w:szCs w:val="32"/>
          <w:lang w:val="en-US" w:eastAsia="zh-CN" w:bidi="ar-SA"/>
        </w:rPr>
        <w:t>已纳入</w:t>
      </w:r>
      <w:r>
        <w:rPr>
          <w:rFonts w:hint="default" w:ascii="仿宋" w:hAnsi="仿宋" w:eastAsia="仿宋" w:cs="仿宋"/>
          <w:kern w:val="0"/>
          <w:sz w:val="32"/>
          <w:szCs w:val="32"/>
          <w:lang w:val="en-US" w:eastAsia="zh-CN" w:bidi="ar-SA"/>
        </w:rPr>
        <w:t>自治区人大</w:t>
      </w:r>
      <w:r>
        <w:rPr>
          <w:rFonts w:hint="eastAsia" w:ascii="仿宋" w:hAnsi="仿宋" w:eastAsia="仿宋" w:cs="仿宋"/>
          <w:kern w:val="0"/>
          <w:sz w:val="32"/>
          <w:szCs w:val="32"/>
          <w:lang w:val="en-US" w:eastAsia="zh-CN" w:bidi="ar-SA"/>
        </w:rPr>
        <w:t>已</w:t>
      </w:r>
      <w:r>
        <w:rPr>
          <w:rFonts w:hint="default" w:ascii="仿宋" w:hAnsi="仿宋" w:eastAsia="仿宋" w:cs="仿宋"/>
          <w:kern w:val="0"/>
          <w:sz w:val="32"/>
          <w:szCs w:val="32"/>
          <w:lang w:val="en-US" w:eastAsia="zh-CN" w:bidi="ar-SA"/>
        </w:rPr>
        <w:t>出台</w:t>
      </w:r>
      <w:r>
        <w:rPr>
          <w:rFonts w:hint="eastAsia" w:ascii="仿宋" w:hAnsi="仿宋" w:eastAsia="仿宋" w:cs="仿宋"/>
          <w:kern w:val="0"/>
          <w:sz w:val="32"/>
          <w:szCs w:val="32"/>
          <w:lang w:val="en-US" w:eastAsia="zh-CN" w:bidi="ar-SA"/>
        </w:rPr>
        <w:t>的</w:t>
      </w:r>
      <w:r>
        <w:rPr>
          <w:rFonts w:hint="default" w:ascii="仿宋" w:hAnsi="仿宋" w:eastAsia="仿宋" w:cs="仿宋"/>
          <w:kern w:val="0"/>
          <w:sz w:val="32"/>
          <w:szCs w:val="32"/>
          <w:lang w:val="en-US" w:eastAsia="zh-CN" w:bidi="ar-SA"/>
        </w:rPr>
        <w:t>《内蒙古自治区建设国家向北开放重要桥头堡促进条例》。</w:t>
      </w:r>
      <w:r>
        <w:rPr>
          <w:rFonts w:hint="eastAsia" w:ascii="仿宋" w:hAnsi="仿宋" w:eastAsia="仿宋" w:cs="仿宋"/>
          <w:kern w:val="0"/>
          <w:sz w:val="32"/>
          <w:szCs w:val="32"/>
          <w:lang w:val="en-US" w:eastAsia="zh-CN" w:bidi="ar-SA"/>
        </w:rPr>
        <w:t>并按照国家战略部署要求正在有序推进。</w:t>
      </w:r>
    </w:p>
    <w:p w14:paraId="51F1441C">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 xml:space="preserve">第二部分  </w:t>
      </w:r>
      <w:r>
        <w:rPr>
          <w:rFonts w:hint="eastAsia" w:ascii="fang_zheng_xiao_biao_song_ti" w:hAnsi="fang_zheng_xiao_biao_song_ti" w:eastAsia="宋体" w:cs="fang_zheng_xiao_biao_song_ti"/>
          <w:kern w:val="0"/>
          <w:sz w:val="36"/>
          <w:szCs w:val="36"/>
          <w:lang w:eastAsia="zh-CN"/>
        </w:rPr>
        <w:t>单位</w:t>
      </w:r>
      <w:r>
        <w:rPr>
          <w:rFonts w:ascii="fang_zheng_xiao_biao_song_ti" w:hAnsi="fang_zheng_xiao_biao_song_ti" w:eastAsia="fang_zheng_xiao_biao_song_ti" w:cs="fang_zheng_xiao_biao_song_ti"/>
          <w:kern w:val="0"/>
          <w:sz w:val="36"/>
          <w:szCs w:val="36"/>
        </w:rPr>
        <w:t>决算情况说明</w:t>
      </w:r>
    </w:p>
    <w:p w14:paraId="6EEF886C">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392FADDA">
      <w:pPr>
        <w:widowControl/>
        <w:spacing w:before="240" w:after="240"/>
        <w:rPr>
          <w:rFonts w:hint="default" w:ascii="仿宋" w:hAnsi="仿宋" w:eastAsia="仿宋" w:cs="仿宋"/>
          <w:kern w:val="0"/>
          <w:sz w:val="32"/>
          <w:szCs w:val="32"/>
          <w:lang w:val="en-US" w:eastAsia="zh-CN" w:bidi="ar-SA"/>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32"/>
          <w:szCs w:val="32"/>
          <w:lang w:val="en-US" w:eastAsia="zh-CN" w:bidi="ar-SA"/>
        </w:rPr>
        <w:t>包头市口岸服务中心</w:t>
      </w:r>
      <w:r>
        <w:rPr>
          <w:rFonts w:hint="default" w:ascii="仿宋" w:hAnsi="仿宋" w:eastAsia="仿宋" w:cs="仿宋"/>
          <w:kern w:val="0"/>
          <w:sz w:val="32"/>
          <w:szCs w:val="32"/>
          <w:lang w:val="en-US" w:eastAsia="zh-CN" w:bidi="ar-SA"/>
        </w:rPr>
        <w:t xml:space="preserve"> 2023年度收入、支出决算总计 356.36万元。与年初预算相比，收、支总计各增加 39.63万元，增长 12.51%，变动原因：</w:t>
      </w:r>
      <w:r>
        <w:rPr>
          <w:rFonts w:hint="eastAsia" w:ascii="仿宋" w:hAnsi="仿宋" w:eastAsia="仿宋" w:cs="仿宋"/>
          <w:kern w:val="0"/>
          <w:sz w:val="32"/>
          <w:szCs w:val="32"/>
          <w:lang w:val="en-US" w:eastAsia="zh-CN" w:bidi="ar-SA"/>
        </w:rPr>
        <w:t>本年本单位增加满都拉-杭吉跨境铁路项目工作经费13.83万元及包头市航空口岸查验设备维修项目21万元</w:t>
      </w:r>
      <w:r>
        <w:rPr>
          <w:rFonts w:hint="default" w:ascii="仿宋" w:hAnsi="仿宋" w:eastAsia="仿宋" w:cs="仿宋"/>
          <w:kern w:val="0"/>
          <w:sz w:val="32"/>
          <w:szCs w:val="32"/>
          <w:lang w:val="en-US" w:eastAsia="zh-CN" w:bidi="ar-SA"/>
        </w:rPr>
        <w:t>；与上年决算相比，收、支总计各减少147.64万元，减少29.29%。其中：</w:t>
      </w:r>
    </w:p>
    <w:p w14:paraId="43C470DD">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w:t>
      </w:r>
      <w:r>
        <w:rPr>
          <w:rFonts w:hint="eastAsia" w:ascii="黑体" w:hAnsi="黑体" w:eastAsia="黑体" w:cs="黑体"/>
          <w:b/>
          <w:bCs/>
          <w:kern w:val="0"/>
          <w:sz w:val="27"/>
          <w:szCs w:val="27"/>
        </w:rPr>
        <w:t>收入决算总计 356.36万元</w:t>
      </w:r>
      <w:r>
        <w:rPr>
          <w:rFonts w:ascii="kai_ti_gb2312" w:hAnsi="kai_ti_gb2312" w:eastAsia="kai_ti_gb2312" w:cs="kai_ti_gb2312"/>
          <w:b/>
          <w:bCs/>
          <w:kern w:val="0"/>
          <w:sz w:val="27"/>
          <w:szCs w:val="27"/>
        </w:rPr>
        <w:t>。包括：</w:t>
      </w:r>
    </w:p>
    <w:p w14:paraId="22F3FD07">
      <w:pPr>
        <w:widowControl/>
        <w:spacing w:before="240" w:after="240"/>
        <w:rPr>
          <w:rFonts w:hint="eastAsia" w:ascii="仿宋" w:hAnsi="仿宋" w:eastAsia="仿宋" w:cs="仿宋"/>
          <w:kern w:val="0"/>
          <w:sz w:val="32"/>
          <w:szCs w:val="32"/>
          <w:lang w:val="en-US" w:eastAsia="zh-CN" w:bidi="ar-SA"/>
        </w:rPr>
      </w:pPr>
      <w:r>
        <w:rPr>
          <w:rFonts w:ascii="fang_song_gb2312" w:hAnsi="fang_song_gb2312" w:eastAsia="fang_song_gb2312" w:cs="fang_song_gb2312"/>
          <w:kern w:val="0"/>
          <w:sz w:val="27"/>
          <w:szCs w:val="27"/>
        </w:rPr>
        <w:t xml:space="preserve">    </w:t>
      </w:r>
      <w:r>
        <w:rPr>
          <w:rFonts w:hint="eastAsia" w:ascii="fang_song_gb2312" w:hAnsi="fang_song_gb2312" w:cs="fang_song_gb2312"/>
          <w:kern w:val="0"/>
          <w:sz w:val="27"/>
          <w:szCs w:val="27"/>
          <w:lang w:val="en-US" w:eastAsia="zh-CN"/>
        </w:rPr>
        <w:t xml:space="preserve"> </w:t>
      </w:r>
      <w:r>
        <w:rPr>
          <w:rFonts w:hint="eastAsia" w:ascii="仿宋" w:hAnsi="仿宋" w:eastAsia="仿宋" w:cs="仿宋"/>
          <w:kern w:val="0"/>
          <w:sz w:val="32"/>
          <w:szCs w:val="32"/>
          <w:lang w:val="en-US" w:eastAsia="zh-CN" w:bidi="ar-SA"/>
        </w:rPr>
        <w:t>1.本年收入决算合计 354.99万元。与上年决算相比，减少149.02万元，减少29.57%，变动原因：本年减少市口岸城市工作专班工作经费105.7万元。</w:t>
      </w:r>
    </w:p>
    <w:p w14:paraId="1F024448">
      <w:pPr>
        <w:widowControl/>
        <w:spacing w:before="240" w:after="24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2.使用非财政拨款结余和专用结余 0.00万元。与上年决算相比，增加 0.00万元，增长0%，变动原因：不涉及此内容。</w:t>
      </w:r>
    </w:p>
    <w:p w14:paraId="505BAB8F">
      <w:pPr>
        <w:widowControl/>
        <w:spacing w:before="240" w:after="24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3.年初结转和结余 1.38万元。与上年决算相比，增加 1.38万元，增长100%，变动原因：职工2022年12月住房公积金未汇缴。</w:t>
      </w:r>
    </w:p>
    <w:p w14:paraId="2DDF0071">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（二）支出决</w:t>
      </w:r>
      <w:r>
        <w:rPr>
          <w:rFonts w:hint="eastAsia" w:ascii="黑体" w:hAnsi="黑体" w:eastAsia="黑体" w:cs="黑体"/>
          <w:b/>
          <w:bCs/>
          <w:kern w:val="0"/>
          <w:sz w:val="27"/>
          <w:szCs w:val="27"/>
        </w:rPr>
        <w:t>算总计 356.36万元</w:t>
      </w:r>
      <w:r>
        <w:rPr>
          <w:rFonts w:ascii="kai_ti_gb2312" w:hAnsi="kai_ti_gb2312" w:eastAsia="kai_ti_gb2312" w:cs="kai_ti_gb2312"/>
          <w:b/>
          <w:bCs/>
          <w:kern w:val="0"/>
          <w:sz w:val="27"/>
          <w:szCs w:val="27"/>
        </w:rPr>
        <w:t>。包括：</w:t>
      </w:r>
    </w:p>
    <w:p w14:paraId="24DCC772">
      <w:pPr>
        <w:widowControl/>
        <w:spacing w:before="240" w:after="240"/>
        <w:rPr>
          <w:rFonts w:hint="eastAsia" w:ascii="仿宋" w:hAnsi="仿宋" w:eastAsia="仿宋" w:cs="仿宋"/>
          <w:kern w:val="0"/>
          <w:sz w:val="32"/>
          <w:szCs w:val="32"/>
          <w:lang w:val="en-US" w:eastAsia="zh-CN" w:bidi="ar-SA"/>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32"/>
          <w:szCs w:val="32"/>
          <w:lang w:val="en-US" w:eastAsia="zh-CN" w:bidi="ar-SA"/>
        </w:rPr>
        <w:t>1.本年支出决算合计 355.91万元。与上年决算相比，减少146.72万元，减少29.19%，变动原因：本年减少市口岸城市工作专班工作经费105.7万元。</w:t>
      </w:r>
    </w:p>
    <w:p w14:paraId="2408EB4E">
      <w:pPr>
        <w:widowControl/>
        <w:spacing w:before="240" w:after="24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2.结余分配 0.00万元。结余分配事项：不涉及此内容。与上年决算相比，增加 0.00万元，增长0.00%，变动原因：不涉及此内容。</w:t>
      </w:r>
    </w:p>
    <w:p w14:paraId="52704D6A">
      <w:pPr>
        <w:widowControl/>
        <w:spacing w:before="240" w:after="240"/>
        <w:rPr>
          <w:rFonts w:ascii="Times New Roman" w:hAnsi="Times New Roman" w:eastAsia="Times New Roman" w:cs="Times New Roman"/>
          <w:kern w:val="0"/>
          <w:sz w:val="24"/>
        </w:rPr>
      </w:pPr>
      <w:r>
        <w:rPr>
          <w:rFonts w:hint="eastAsia" w:ascii="仿宋" w:hAnsi="仿宋" w:eastAsia="仿宋" w:cs="仿宋"/>
          <w:kern w:val="0"/>
          <w:sz w:val="32"/>
          <w:szCs w:val="32"/>
          <w:lang w:val="en-US" w:eastAsia="zh-CN" w:bidi="ar-SA"/>
        </w:rPr>
        <w:t>    3.年末结转和结余 0.45万元。结转和结余事项：职工住房公积金未汇缴。与上年决算相比，减少0.93万元，减少67.23%，变动原因：减少未汇缴的职工公积金。</w:t>
      </w:r>
    </w:p>
    <w:p w14:paraId="5ACD11D0">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14:paraId="6D000EA8">
      <w:pPr>
        <w:widowControl/>
        <w:spacing w:before="240" w:after="240"/>
        <w:rPr>
          <w:rFonts w:hint="eastAsia" w:ascii="仿宋" w:hAnsi="仿宋" w:eastAsia="仿宋" w:cs="仿宋"/>
          <w:kern w:val="0"/>
          <w:sz w:val="32"/>
          <w:szCs w:val="32"/>
          <w:lang w:val="en-US" w:eastAsia="zh-CN" w:bidi="ar-SA"/>
        </w:rPr>
      </w:pPr>
      <w:r>
        <w:rPr>
          <w:rFonts w:ascii="fang_song_gb2312" w:hAnsi="fang_song_gb2312" w:eastAsia="fang_song_gb2312" w:cs="fang_song_gb2312"/>
          <w:color w:val="0E00FE"/>
          <w:kern w:val="0"/>
          <w:sz w:val="27"/>
          <w:szCs w:val="27"/>
        </w:rPr>
        <w:t>   </w:t>
      </w:r>
      <w:r>
        <w:rPr>
          <w:rFonts w:ascii="fang_song_gb2312" w:hAnsi="fang_song_gb2312" w:eastAsia="fang_song_gb2312" w:cs="fang_song_gb2312"/>
          <w:kern w:val="0"/>
          <w:sz w:val="27"/>
          <w:szCs w:val="27"/>
        </w:rPr>
        <w:t xml:space="preserve">    </w:t>
      </w:r>
      <w:r>
        <w:rPr>
          <w:rFonts w:hint="eastAsia" w:ascii="仿宋" w:hAnsi="仿宋" w:eastAsia="仿宋" w:cs="仿宋"/>
          <w:kern w:val="0"/>
          <w:sz w:val="32"/>
          <w:szCs w:val="32"/>
          <w:lang w:val="en-US" w:eastAsia="zh-CN" w:bidi="ar-SA"/>
        </w:rPr>
        <w:t>包头市口岸服务中心 2023年度本年收入决算合计 354.99万元，其中：</w:t>
      </w:r>
    </w:p>
    <w:p w14:paraId="6A7C85E4">
      <w:pPr>
        <w:widowControl/>
        <w:spacing w:before="240" w:after="24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本年一般公共预算财政拨款收入 354.99万元，占 100.00%；</w:t>
      </w:r>
    </w:p>
    <w:p w14:paraId="61FA9B52">
      <w:pPr>
        <w:widowControl/>
        <w:spacing w:before="240" w:after="24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本年政府性基金预算财政拨款收入 0.00万元，占 0.00%；</w:t>
      </w:r>
    </w:p>
    <w:p w14:paraId="1B5B89ED">
      <w:pPr>
        <w:widowControl/>
        <w:spacing w:before="240" w:after="24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本年国有资本经营预算财政拨款收入 0.00万元，占 0.00%；</w:t>
      </w:r>
    </w:p>
    <w:p w14:paraId="3E6B0851">
      <w:pPr>
        <w:widowControl/>
        <w:spacing w:before="240" w:after="24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本年上级补助收入 0.00万元，占 0.00%；</w:t>
      </w:r>
    </w:p>
    <w:p w14:paraId="2C35432F">
      <w:pPr>
        <w:widowControl/>
        <w:spacing w:before="240" w:after="24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本年事业收入 0.00万元，占 0.00%；</w:t>
      </w:r>
    </w:p>
    <w:p w14:paraId="511CC1F1">
      <w:pPr>
        <w:widowControl/>
        <w:spacing w:before="240" w:after="24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本年经营收入 0.00万元，占 0.00%；</w:t>
      </w:r>
    </w:p>
    <w:p w14:paraId="1581F0D2">
      <w:pPr>
        <w:widowControl/>
        <w:spacing w:before="240" w:after="24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本年附属单位上缴收入 0.00万元，占 0.00%；</w:t>
      </w:r>
    </w:p>
    <w:p w14:paraId="0E33021F">
      <w:pPr>
        <w:widowControl/>
        <w:spacing w:before="240" w:after="24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本年其他收入 0.00万元，占 0.00%。</w:t>
      </w:r>
    </w:p>
    <w:p w14:paraId="6722EA68">
      <w:pPr>
        <w:widowControl/>
        <w:spacing w:before="240" w:after="240"/>
        <w:jc w:val="center"/>
      </w:pPr>
      <w:r>
        <w:rPr>
          <w:rFonts w:ascii="fang_song_gb2312" w:hAnsi="fang_song_gb2312" w:eastAsia="fang_song_gb2312" w:cs="fang_song_gb2312"/>
          <w:color w:val="0E00FE"/>
          <w:kern w:val="0"/>
          <w:sz w:val="27"/>
          <w:szCs w:val="27"/>
        </w:rPr>
        <w:t xml:space="preserve">  </w:t>
      </w:r>
      <w:r>
        <w:drawing>
          <wp:inline distT="0" distB="0" distL="114300" distR="114300">
            <wp:extent cx="4826000" cy="2743200"/>
            <wp:effectExtent l="4445" t="4445" r="15875" b="10795"/>
            <wp:docPr id="2" name="图表 1"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F749F58">
      <w:pPr>
        <w:widowControl/>
        <w:spacing w:before="240" w:after="240"/>
        <w:jc w:val="center"/>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图</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.收入决算图</w:t>
      </w:r>
    </w:p>
    <w:p w14:paraId="6E7A9F8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611A513E">
      <w:pPr>
        <w:widowControl/>
        <w:spacing w:before="240" w:after="240"/>
        <w:rPr>
          <w:rFonts w:hint="eastAsia" w:ascii="仿宋" w:hAnsi="仿宋" w:eastAsia="仿宋" w:cs="仿宋"/>
          <w:kern w:val="0"/>
          <w:sz w:val="32"/>
          <w:szCs w:val="32"/>
          <w:lang w:val="en-US" w:eastAsia="zh-CN" w:bidi="ar-SA"/>
        </w:rPr>
      </w:pPr>
      <w:r>
        <w:rPr>
          <w:rFonts w:ascii="fang_song_gb2312" w:hAnsi="fang_song_gb2312" w:eastAsia="fang_song_gb2312" w:cs="fang_song_gb2312"/>
          <w:color w:val="0E00FE"/>
          <w:kern w:val="0"/>
          <w:sz w:val="27"/>
          <w:szCs w:val="27"/>
        </w:rPr>
        <w:t xml:space="preserve">    </w:t>
      </w:r>
      <w:r>
        <w:rPr>
          <w:rFonts w:ascii="fang_song_gb2312" w:hAnsi="fang_song_gb2312" w:eastAsia="fang_song_gb2312" w:cs="fang_song_gb2312"/>
          <w:kern w:val="0"/>
          <w:sz w:val="27"/>
          <w:szCs w:val="27"/>
        </w:rPr>
        <w:t xml:space="preserve">  </w:t>
      </w:r>
      <w:r>
        <w:rPr>
          <w:rFonts w:hint="eastAsia" w:ascii="仿宋" w:hAnsi="仿宋" w:eastAsia="仿宋" w:cs="仿宋"/>
          <w:kern w:val="0"/>
          <w:sz w:val="32"/>
          <w:szCs w:val="32"/>
          <w:lang w:val="en-US" w:eastAsia="zh-CN" w:bidi="ar-SA"/>
        </w:rPr>
        <w:t>包头市口岸服务中心 2023年度本年支出决算合计 355.91万元，其中：</w:t>
      </w:r>
    </w:p>
    <w:p w14:paraId="2A12D22B">
      <w:pPr>
        <w:widowControl/>
        <w:spacing w:before="240" w:after="24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本年基本支出 155.45万元，占 43.68%；</w:t>
      </w:r>
    </w:p>
    <w:p w14:paraId="58A073FC">
      <w:pPr>
        <w:widowControl/>
        <w:spacing w:before="240" w:after="24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本年项目支出 200.46万元，占 56.32%；</w:t>
      </w:r>
    </w:p>
    <w:p w14:paraId="0FC5C5B3">
      <w:pPr>
        <w:widowControl/>
        <w:spacing w:before="240" w:after="24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本年上缴上级支出 0.00万元，占 0.00%；</w:t>
      </w:r>
    </w:p>
    <w:p w14:paraId="08075D7C">
      <w:pPr>
        <w:widowControl/>
        <w:spacing w:before="240" w:after="24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本年经营支出 0.00万元，占 0.00%；</w:t>
      </w:r>
    </w:p>
    <w:p w14:paraId="1CC26B16">
      <w:pPr>
        <w:widowControl/>
        <w:spacing w:before="240" w:after="24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本年对附属单位补助支出 0.00万元，占 0.00%。</w:t>
      </w:r>
    </w:p>
    <w:p w14:paraId="14291AF3">
      <w:pPr>
        <w:widowControl/>
        <w:spacing w:before="240" w:after="240"/>
        <w:jc w:val="center"/>
      </w:pPr>
      <w:r>
        <w:rPr>
          <w:rFonts w:ascii="fang_song_gb2312" w:hAnsi="fang_song_gb2312" w:eastAsia="fang_song_gb2312" w:cs="fang_song_gb2312"/>
          <w:color w:val="0E00FE"/>
          <w:kern w:val="0"/>
          <w:sz w:val="27"/>
          <w:szCs w:val="27"/>
        </w:rPr>
        <w:t>   </w:t>
      </w:r>
      <w:r>
        <w:drawing>
          <wp:inline distT="0" distB="0" distL="114300" distR="114300">
            <wp:extent cx="4826000" cy="2743200"/>
            <wp:effectExtent l="4445" t="4445" r="15875" b="10795"/>
            <wp:docPr id="1" name="图表 1"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FA9748C">
      <w:pPr>
        <w:widowControl/>
        <w:spacing w:before="240" w:after="240"/>
        <w:jc w:val="center"/>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图2.支出决算图</w:t>
      </w:r>
    </w:p>
    <w:p w14:paraId="5B501089">
      <w:pPr>
        <w:widowControl/>
        <w:spacing w:before="240" w:after="240"/>
        <w:jc w:val="left"/>
        <w:rPr>
          <w:rFonts w:ascii="Times New Roman" w:hAnsi="Times New Roman" w:eastAsia="Times New Roman" w:cs="Times New Roman"/>
          <w:kern w:val="0"/>
          <w:sz w:val="24"/>
        </w:rPr>
      </w:pPr>
    </w:p>
    <w:p w14:paraId="47410435">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5943DC36">
      <w:pPr>
        <w:widowControl/>
        <w:spacing w:before="240" w:after="240"/>
        <w:rPr>
          <w:rFonts w:hint="eastAsia" w:ascii="仿宋" w:hAnsi="仿宋" w:eastAsia="仿宋" w:cs="仿宋"/>
          <w:kern w:val="0"/>
          <w:sz w:val="32"/>
          <w:szCs w:val="32"/>
          <w:lang w:val="en-US" w:eastAsia="zh-CN" w:bidi="ar-SA"/>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32"/>
          <w:szCs w:val="32"/>
          <w:lang w:val="en-US" w:eastAsia="zh-CN" w:bidi="ar-SA"/>
        </w:rPr>
        <w:t>包头市口岸服务中心 2023年度财政拨款收入、支出决算总计 356.36万元，与年初预算相比，收、支总计各增加 39.63万元，增长 12.51%，变动原因：本年本单位增加满都拉-杭吉跨境铁路项目工作经费13.83万元及包头市航空口岸查验设备维修项目21万元；与上年决算相比，收、支总计各减少147.64万元，减少29.29%，变动原因：本年减少市口岸城市工作专班工作经费105.7万元。</w:t>
      </w:r>
    </w:p>
    <w:p w14:paraId="0406C78E">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5B9F2C67">
      <w:pPr>
        <w:widowControl/>
        <w:spacing w:before="240" w:after="240"/>
        <w:rPr>
          <w:rFonts w:hint="eastAsia" w:ascii="仿宋" w:hAnsi="仿宋" w:eastAsia="仿宋" w:cs="仿宋"/>
          <w:kern w:val="0"/>
          <w:sz w:val="32"/>
          <w:szCs w:val="32"/>
          <w:lang w:val="en-US" w:eastAsia="zh-CN" w:bidi="ar-SA"/>
        </w:rPr>
      </w:pPr>
      <w:r>
        <w:rPr>
          <w:rFonts w:ascii="fang_song_gb2312" w:hAnsi="fang_song_gb2312" w:eastAsia="fang_song_gb2312" w:cs="fang_song_gb2312"/>
          <w:kern w:val="0"/>
          <w:sz w:val="27"/>
          <w:szCs w:val="27"/>
        </w:rPr>
        <w:t xml:space="preserve">    </w:t>
      </w:r>
      <w:r>
        <w:rPr>
          <w:rFonts w:hint="eastAsia" w:ascii="fang_song_gb2312" w:hAnsi="fang_song_gb2312" w:cs="fang_song_gb2312"/>
          <w:kern w:val="0"/>
          <w:sz w:val="27"/>
          <w:szCs w:val="27"/>
          <w:lang w:val="en-US" w:eastAsia="zh-CN"/>
        </w:rPr>
        <w:t xml:space="preserve"> </w:t>
      </w:r>
      <w:r>
        <w:rPr>
          <w:rFonts w:hint="eastAsia" w:ascii="仿宋" w:hAnsi="仿宋" w:eastAsia="仿宋" w:cs="仿宋"/>
          <w:kern w:val="0"/>
          <w:sz w:val="32"/>
          <w:szCs w:val="32"/>
          <w:lang w:val="en-US" w:eastAsia="zh-CN" w:bidi="ar-SA"/>
        </w:rPr>
        <w:t>包头市口岸服务中心 2023年度一般公共预算财政拨款支出决算 355.91万元。与年初预算 316.73万元相比，完成年初预算的 112.37%。其中：</w:t>
      </w:r>
    </w:p>
    <w:p w14:paraId="220CA762">
      <w:pPr>
        <w:spacing w:before="0" w:beforeAutospacing="1" w:after="0" w:afterAutospacing="1" w:line="560" w:lineRule="atLeast"/>
        <w:ind w:firstLine="321" w:firstLineChars="100"/>
        <w:jc w:val="both"/>
        <w:rPr>
          <w:rFonts w:hint="default" w:ascii="Times New Roman" w:hAnsi="Times New Roman" w:eastAsia="宋体" w:cs="Times New Roman"/>
          <w:kern w:val="0"/>
          <w:sz w:val="24"/>
          <w:szCs w:val="24"/>
        </w:rPr>
      </w:pPr>
      <w:r>
        <w:rPr>
          <w:rFonts w:hint="eastAsia" w:ascii="楷体" w:hAnsi="楷体" w:eastAsia="楷体" w:cs="楷体"/>
          <w:b/>
          <w:bCs/>
          <w:kern w:val="0"/>
          <w:sz w:val="32"/>
          <w:szCs w:val="32"/>
        </w:rPr>
        <w:t>（一）一般公共服务（类）</w:t>
      </w:r>
    </w:p>
    <w:p w14:paraId="365C8E6D">
      <w:pPr>
        <w:spacing w:before="0" w:beforeAutospacing="1" w:after="0" w:afterAutospacing="1" w:line="560" w:lineRule="atLeast"/>
        <w:ind w:left="0" w:firstLine="640"/>
        <w:jc w:val="both"/>
        <w:rPr>
          <w:rFonts w:hint="default" w:ascii="Times New Roman" w:hAnsi="Times New Roman" w:eastAsia="仿宋" w:cs="Times New Roman"/>
          <w:kern w:val="0"/>
          <w:sz w:val="32"/>
          <w:szCs w:val="32"/>
        </w:rPr>
      </w:pPr>
      <w:r>
        <w:rPr>
          <w:rFonts w:hint="eastAsia" w:ascii="仿宋" w:hAnsi="仿宋" w:eastAsia="仿宋" w:cs="仿宋"/>
          <w:kern w:val="0"/>
          <w:sz w:val="32"/>
          <w:szCs w:val="32"/>
        </w:rPr>
        <w:t>一般公共服务支出类决算数为</w:t>
      </w:r>
      <w:r>
        <w:rPr>
          <w:rFonts w:hint="eastAsia" w:eastAsia="仿宋" w:cs="Times New Roman"/>
          <w:kern w:val="0"/>
          <w:sz w:val="32"/>
          <w:szCs w:val="32"/>
          <w:lang w:val="en-US" w:eastAsia="zh-CN"/>
        </w:rPr>
        <w:t>308.61</w:t>
      </w:r>
      <w:r>
        <w:rPr>
          <w:rFonts w:hint="eastAsia" w:ascii="仿宋" w:hAnsi="仿宋" w:eastAsia="仿宋" w:cs="仿宋"/>
          <w:kern w:val="0"/>
          <w:sz w:val="32"/>
          <w:szCs w:val="32"/>
        </w:rPr>
        <w:t>万元，与年初预算相比</w:t>
      </w:r>
      <w:r>
        <w:rPr>
          <w:rFonts w:hint="eastAsia" w:ascii="仿宋" w:hAnsi="仿宋" w:eastAsia="仿宋" w:cs="仿宋"/>
          <w:kern w:val="0"/>
          <w:sz w:val="32"/>
          <w:szCs w:val="32"/>
          <w:lang w:eastAsia="zh-CN"/>
        </w:rPr>
        <w:t>增加</w:t>
      </w:r>
      <w:r>
        <w:rPr>
          <w:rFonts w:hint="eastAsia" w:eastAsia="仿宋" w:cs="Times New Roman"/>
          <w:kern w:val="0"/>
          <w:sz w:val="32"/>
          <w:szCs w:val="32"/>
          <w:lang w:val="en-US" w:eastAsia="zh-CN"/>
        </w:rPr>
        <w:t>36.82</w:t>
      </w:r>
      <w:r>
        <w:rPr>
          <w:rFonts w:hint="eastAsia" w:ascii="仿宋" w:hAnsi="仿宋" w:eastAsia="仿宋" w:cs="仿宋"/>
          <w:kern w:val="0"/>
          <w:sz w:val="32"/>
          <w:szCs w:val="32"/>
        </w:rPr>
        <w:t>万元。其中：</w:t>
      </w:r>
    </w:p>
    <w:p w14:paraId="61EC46FE">
      <w:pPr>
        <w:numPr>
          <w:ilvl w:val="0"/>
          <w:numId w:val="1"/>
        </w:numPr>
        <w:spacing w:before="0" w:beforeAutospacing="1" w:after="0" w:afterAutospacing="1" w:line="560" w:lineRule="atLeast"/>
        <w:ind w:left="0" w:firstLine="64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商贸事务（款）事业运行（项）。年初预算</w:t>
      </w:r>
      <w:r>
        <w:rPr>
          <w:rFonts w:hint="eastAsia" w:eastAsia="仿宋" w:cs="Times New Roman"/>
          <w:kern w:val="0"/>
          <w:sz w:val="32"/>
          <w:szCs w:val="32"/>
          <w:lang w:val="en-US" w:eastAsia="zh-CN"/>
        </w:rPr>
        <w:t>113.17</w:t>
      </w:r>
      <w:r>
        <w:rPr>
          <w:rFonts w:hint="eastAsia" w:ascii="仿宋" w:hAnsi="仿宋" w:eastAsia="仿宋" w:cs="仿宋"/>
          <w:kern w:val="0"/>
          <w:sz w:val="32"/>
          <w:szCs w:val="32"/>
        </w:rPr>
        <w:t>万元，支出决算</w:t>
      </w:r>
      <w:r>
        <w:rPr>
          <w:rFonts w:hint="default" w:ascii="Times New Roman" w:hAnsi="Times New Roman" w:eastAsia="仿宋" w:cs="Times New Roman"/>
          <w:kern w:val="0"/>
          <w:sz w:val="32"/>
          <w:szCs w:val="32"/>
        </w:rPr>
        <w:t>12</w:t>
      </w:r>
      <w:r>
        <w:rPr>
          <w:rFonts w:hint="eastAsia" w:eastAsia="仿宋" w:cs="Times New Roman"/>
          <w:kern w:val="0"/>
          <w:sz w:val="32"/>
          <w:szCs w:val="32"/>
          <w:lang w:val="en-US" w:eastAsia="zh-CN"/>
        </w:rPr>
        <w:t>4.39</w:t>
      </w:r>
      <w:r>
        <w:rPr>
          <w:rFonts w:hint="eastAsia" w:ascii="仿宋" w:hAnsi="仿宋" w:eastAsia="仿宋" w:cs="仿宋"/>
          <w:kern w:val="0"/>
          <w:sz w:val="32"/>
          <w:szCs w:val="32"/>
        </w:rPr>
        <w:t>万元，完成年初预算的</w:t>
      </w:r>
      <w:r>
        <w:rPr>
          <w:rFonts w:hint="eastAsia" w:eastAsia="仿宋" w:cs="Times New Roman"/>
          <w:kern w:val="0"/>
          <w:sz w:val="32"/>
          <w:szCs w:val="32"/>
          <w:lang w:val="en-US" w:eastAsia="zh-CN"/>
        </w:rPr>
        <w:t>109.91</w:t>
      </w:r>
      <w:r>
        <w:rPr>
          <w:rFonts w:hint="default" w:ascii="Times New Roman" w:hAnsi="Times New Roman" w:eastAsia="仿宋" w:cs="Times New Roman"/>
          <w:kern w:val="0"/>
          <w:sz w:val="32"/>
          <w:szCs w:val="32"/>
        </w:rPr>
        <w:t>%</w:t>
      </w:r>
      <w:r>
        <w:rPr>
          <w:rFonts w:hint="eastAsia" w:ascii="仿宋" w:hAnsi="仿宋" w:eastAsia="仿宋" w:cs="仿宋"/>
          <w:kern w:val="0"/>
          <w:sz w:val="32"/>
          <w:szCs w:val="32"/>
        </w:rPr>
        <w:t>。决算数与年初预算数的差异原因：</w:t>
      </w:r>
      <w:r>
        <w:rPr>
          <w:rFonts w:hint="eastAsia" w:ascii="仿宋" w:hAnsi="仿宋" w:eastAsia="仿宋" w:cs="仿宋"/>
          <w:kern w:val="0"/>
          <w:sz w:val="32"/>
          <w:szCs w:val="32"/>
          <w:lang w:val="en-US" w:eastAsia="zh-CN" w:bidi="ar-SA"/>
        </w:rPr>
        <w:t>本年调入3人，考录1人，人员经费增加。</w:t>
      </w:r>
    </w:p>
    <w:p w14:paraId="5F9A743A">
      <w:pPr>
        <w:numPr>
          <w:ilvl w:val="0"/>
          <w:numId w:val="0"/>
        </w:numPr>
        <w:spacing w:before="0" w:beforeAutospacing="1" w:after="0" w:afterAutospacing="1" w:line="560" w:lineRule="atLeast"/>
        <w:ind w:firstLine="640" w:firstLineChars="20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w:t>
      </w:r>
      <w:r>
        <w:rPr>
          <w:rFonts w:hint="eastAsia" w:ascii="仿宋" w:hAnsi="仿宋" w:eastAsia="仿宋" w:cs="仿宋"/>
          <w:kern w:val="0"/>
          <w:sz w:val="32"/>
          <w:szCs w:val="32"/>
        </w:rPr>
        <w:t>商贸事务（款）其他商贸事务支出（项）。年初预算</w:t>
      </w:r>
      <w:r>
        <w:rPr>
          <w:rFonts w:hint="default" w:ascii="Times New Roman" w:hAnsi="Times New Roman" w:eastAsia="仿宋" w:cs="Times New Roman"/>
          <w:kern w:val="0"/>
          <w:sz w:val="32"/>
          <w:szCs w:val="32"/>
        </w:rPr>
        <w:t>1</w:t>
      </w:r>
      <w:r>
        <w:rPr>
          <w:rFonts w:hint="eastAsia" w:eastAsia="仿宋" w:cs="Times New Roman"/>
          <w:kern w:val="0"/>
          <w:sz w:val="32"/>
          <w:szCs w:val="32"/>
          <w:lang w:val="en-US" w:eastAsia="zh-CN"/>
        </w:rPr>
        <w:t>58.62</w:t>
      </w:r>
      <w:r>
        <w:rPr>
          <w:rFonts w:hint="eastAsia" w:ascii="仿宋" w:hAnsi="仿宋" w:eastAsia="仿宋" w:cs="仿宋"/>
          <w:kern w:val="0"/>
          <w:sz w:val="32"/>
          <w:szCs w:val="32"/>
        </w:rPr>
        <w:t>万元，支出决算</w:t>
      </w:r>
      <w:r>
        <w:rPr>
          <w:rFonts w:hint="eastAsia" w:eastAsia="仿宋" w:cs="Times New Roman"/>
          <w:kern w:val="0"/>
          <w:sz w:val="32"/>
          <w:szCs w:val="32"/>
          <w:lang w:val="en-US" w:eastAsia="zh-CN"/>
        </w:rPr>
        <w:t>184.22</w:t>
      </w:r>
      <w:r>
        <w:rPr>
          <w:rFonts w:hint="eastAsia" w:ascii="仿宋" w:hAnsi="仿宋" w:eastAsia="仿宋" w:cs="仿宋"/>
          <w:kern w:val="0"/>
          <w:sz w:val="32"/>
          <w:szCs w:val="32"/>
        </w:rPr>
        <w:t>万元，完成年初预算的</w:t>
      </w:r>
      <w:r>
        <w:rPr>
          <w:rFonts w:hint="eastAsia" w:eastAsia="仿宋" w:cs="Times New Roman"/>
          <w:kern w:val="0"/>
          <w:sz w:val="32"/>
          <w:szCs w:val="32"/>
          <w:lang w:val="en-US" w:eastAsia="zh-CN"/>
        </w:rPr>
        <w:t>116.14</w:t>
      </w:r>
      <w:r>
        <w:rPr>
          <w:rFonts w:hint="default" w:ascii="Times New Roman" w:hAnsi="Times New Roman" w:eastAsia="仿宋" w:cs="Times New Roman"/>
          <w:kern w:val="0"/>
          <w:sz w:val="32"/>
          <w:szCs w:val="32"/>
        </w:rPr>
        <w:t>%</w:t>
      </w:r>
      <w:r>
        <w:rPr>
          <w:rFonts w:hint="eastAsia" w:ascii="仿宋" w:hAnsi="仿宋" w:eastAsia="仿宋" w:cs="仿宋"/>
          <w:kern w:val="0"/>
          <w:sz w:val="32"/>
          <w:szCs w:val="32"/>
        </w:rPr>
        <w:t>。决算数与年初预算数的差异原因：</w:t>
      </w:r>
      <w:r>
        <w:rPr>
          <w:rFonts w:hint="eastAsia" w:ascii="仿宋" w:hAnsi="仿宋" w:eastAsia="仿宋" w:cs="仿宋"/>
          <w:kern w:val="0"/>
          <w:sz w:val="32"/>
          <w:szCs w:val="32"/>
          <w:lang w:val="en-US" w:eastAsia="zh-CN" w:bidi="ar-SA"/>
        </w:rPr>
        <w:t>本年本单位增加满都拉-杭吉跨境铁路项目工作经费13.83万元及包头市航空口岸查验设备维修项目21万元</w:t>
      </w:r>
      <w:r>
        <w:rPr>
          <w:rFonts w:hint="eastAsia" w:ascii="仿宋" w:hAnsi="仿宋" w:eastAsia="仿宋" w:cs="仿宋"/>
          <w:kern w:val="0"/>
          <w:sz w:val="32"/>
          <w:szCs w:val="32"/>
        </w:rPr>
        <w:t>。</w:t>
      </w:r>
    </w:p>
    <w:p w14:paraId="6FBA050E">
      <w:pPr>
        <w:spacing w:before="0" w:beforeAutospacing="1" w:after="0" w:afterAutospacing="1" w:line="560" w:lineRule="atLeast"/>
        <w:ind w:left="0" w:firstLine="643"/>
        <w:jc w:val="both"/>
        <w:rPr>
          <w:rFonts w:hint="default" w:ascii="Times New Roman" w:hAnsi="Times New Roman" w:eastAsia="楷体" w:cs="Times New Roman"/>
          <w:b/>
          <w:bCs/>
          <w:kern w:val="0"/>
          <w:sz w:val="32"/>
          <w:szCs w:val="32"/>
        </w:rPr>
      </w:pPr>
      <w:r>
        <w:rPr>
          <w:rFonts w:hint="eastAsia" w:ascii="楷体" w:hAnsi="楷体" w:eastAsia="楷体" w:cs="楷体"/>
          <w:b/>
          <w:bCs/>
          <w:kern w:val="0"/>
          <w:sz w:val="32"/>
          <w:szCs w:val="32"/>
        </w:rPr>
        <w:t>（二）社会保障和就业支出（类）</w:t>
      </w:r>
    </w:p>
    <w:p w14:paraId="54D6D9B8">
      <w:pPr>
        <w:spacing w:before="0" w:beforeAutospacing="1" w:after="0" w:afterAutospacing="1" w:line="560" w:lineRule="atLeast"/>
        <w:ind w:left="0" w:firstLine="640"/>
        <w:jc w:val="both"/>
        <w:rPr>
          <w:rFonts w:hint="default" w:ascii="Times New Roman" w:hAnsi="Times New Roman" w:eastAsia="仿宋" w:cs="Times New Roman"/>
          <w:kern w:val="0"/>
          <w:sz w:val="32"/>
          <w:szCs w:val="32"/>
        </w:rPr>
      </w:pPr>
      <w:r>
        <w:rPr>
          <w:rFonts w:hint="eastAsia" w:ascii="仿宋" w:hAnsi="仿宋" w:eastAsia="仿宋" w:cs="仿宋"/>
          <w:kern w:val="0"/>
          <w:sz w:val="32"/>
          <w:szCs w:val="32"/>
        </w:rPr>
        <w:t>社会保障和就业支出类决算数为</w:t>
      </w:r>
      <w:r>
        <w:rPr>
          <w:rFonts w:hint="eastAsia" w:eastAsia="仿宋" w:cs="Times New Roman"/>
          <w:kern w:val="0"/>
          <w:sz w:val="32"/>
          <w:szCs w:val="32"/>
          <w:lang w:val="en-US" w:eastAsia="zh-CN"/>
        </w:rPr>
        <w:t>14</w:t>
      </w:r>
      <w:r>
        <w:rPr>
          <w:rFonts w:hint="eastAsia" w:ascii="仿宋" w:hAnsi="仿宋" w:eastAsia="仿宋" w:cs="仿宋"/>
          <w:kern w:val="0"/>
          <w:sz w:val="32"/>
          <w:szCs w:val="32"/>
        </w:rPr>
        <w:t>万元，与年初预算相比增加</w:t>
      </w:r>
      <w:r>
        <w:rPr>
          <w:rFonts w:hint="eastAsia" w:eastAsia="仿宋" w:cs="Times New Roman"/>
          <w:kern w:val="0"/>
          <w:sz w:val="32"/>
          <w:szCs w:val="32"/>
          <w:lang w:val="en-US" w:eastAsia="zh-CN"/>
        </w:rPr>
        <w:t>0.91</w:t>
      </w:r>
      <w:r>
        <w:rPr>
          <w:rFonts w:hint="eastAsia" w:ascii="仿宋" w:hAnsi="仿宋" w:eastAsia="仿宋" w:cs="仿宋"/>
          <w:kern w:val="0"/>
          <w:sz w:val="32"/>
          <w:szCs w:val="32"/>
        </w:rPr>
        <w:t>万元。其中：</w:t>
      </w:r>
    </w:p>
    <w:p w14:paraId="752B2A91">
      <w:pPr>
        <w:spacing w:before="0" w:beforeAutospacing="1" w:after="0" w:afterAutospacing="1" w:line="560" w:lineRule="atLeast"/>
        <w:ind w:left="0" w:firstLine="640"/>
        <w:jc w:val="both"/>
        <w:rPr>
          <w:rFonts w:hint="default" w:ascii="Times New Roman" w:hAnsi="Times New Roman" w:eastAsia="宋体" w:cs="Times New Roman"/>
          <w:kern w:val="0"/>
          <w:sz w:val="24"/>
          <w:szCs w:val="24"/>
        </w:rPr>
      </w:pPr>
      <w:r>
        <w:rPr>
          <w:rFonts w:hint="default" w:ascii="Times New Roman" w:hAnsi="Times New Roman" w:eastAsia="仿宋" w:cs="Times New Roman"/>
          <w:kern w:val="0"/>
          <w:sz w:val="32"/>
          <w:szCs w:val="32"/>
        </w:rPr>
        <w:t>1</w:t>
      </w:r>
      <w:r>
        <w:rPr>
          <w:rFonts w:hint="eastAsia" w:ascii="仿宋" w:hAnsi="仿宋" w:eastAsia="仿宋" w:cs="仿宋"/>
          <w:kern w:val="0"/>
          <w:sz w:val="32"/>
          <w:szCs w:val="32"/>
        </w:rPr>
        <w:t>．行政事业单位养老（款）机关事业单位基本养老保险缴费（项）。年初预算</w:t>
      </w:r>
      <w:r>
        <w:rPr>
          <w:rFonts w:hint="eastAsia" w:eastAsia="仿宋" w:cs="Times New Roman"/>
          <w:kern w:val="0"/>
          <w:sz w:val="32"/>
          <w:szCs w:val="32"/>
          <w:lang w:val="en-US" w:eastAsia="zh-CN"/>
        </w:rPr>
        <w:t>13.09</w:t>
      </w:r>
      <w:r>
        <w:rPr>
          <w:rFonts w:hint="eastAsia" w:ascii="仿宋" w:hAnsi="仿宋" w:eastAsia="仿宋" w:cs="仿宋"/>
          <w:kern w:val="0"/>
          <w:sz w:val="32"/>
          <w:szCs w:val="32"/>
        </w:rPr>
        <w:t>万元，支出决算</w:t>
      </w:r>
      <w:r>
        <w:rPr>
          <w:rFonts w:hint="eastAsia" w:eastAsia="仿宋" w:cs="Times New Roman"/>
          <w:kern w:val="0"/>
          <w:sz w:val="32"/>
          <w:szCs w:val="32"/>
          <w:lang w:val="en-US" w:eastAsia="zh-CN"/>
        </w:rPr>
        <w:t>14</w:t>
      </w:r>
      <w:r>
        <w:rPr>
          <w:rFonts w:hint="eastAsia" w:ascii="仿宋" w:hAnsi="仿宋" w:eastAsia="仿宋" w:cs="仿宋"/>
          <w:kern w:val="0"/>
          <w:sz w:val="32"/>
          <w:szCs w:val="32"/>
        </w:rPr>
        <w:t>万元，完成年初预算的</w:t>
      </w:r>
      <w:r>
        <w:rPr>
          <w:rFonts w:hint="eastAsia" w:eastAsia="仿宋" w:cs="Times New Roman"/>
          <w:kern w:val="0"/>
          <w:sz w:val="32"/>
          <w:szCs w:val="32"/>
          <w:lang w:val="en-US" w:eastAsia="zh-CN"/>
        </w:rPr>
        <w:t>106.95</w:t>
      </w:r>
      <w:r>
        <w:rPr>
          <w:rFonts w:hint="default" w:ascii="Times New Roman" w:hAnsi="Times New Roman" w:eastAsia="仿宋" w:cs="Times New Roman"/>
          <w:kern w:val="0"/>
          <w:sz w:val="32"/>
          <w:szCs w:val="32"/>
        </w:rPr>
        <w:t>%</w:t>
      </w:r>
      <w:r>
        <w:rPr>
          <w:rFonts w:hint="eastAsia" w:ascii="仿宋" w:hAnsi="仿宋" w:eastAsia="仿宋" w:cs="仿宋"/>
          <w:kern w:val="0"/>
          <w:sz w:val="32"/>
          <w:szCs w:val="32"/>
        </w:rPr>
        <w:t>。决算数与年初预算数的差异原因：职工社会保险调整基数。</w:t>
      </w:r>
    </w:p>
    <w:p w14:paraId="44813DCD">
      <w:pPr>
        <w:spacing w:before="0" w:beforeAutospacing="1" w:after="0" w:afterAutospacing="1" w:line="560" w:lineRule="atLeast"/>
        <w:ind w:left="0" w:firstLine="643"/>
        <w:jc w:val="both"/>
        <w:rPr>
          <w:rFonts w:hint="default" w:ascii="Times New Roman" w:hAnsi="Times New Roman" w:eastAsia="宋体" w:cs="Times New Roman"/>
          <w:kern w:val="0"/>
          <w:sz w:val="24"/>
          <w:szCs w:val="24"/>
        </w:rPr>
      </w:pPr>
      <w:r>
        <w:rPr>
          <w:rFonts w:hint="eastAsia" w:ascii="楷体" w:hAnsi="楷体" w:eastAsia="楷体" w:cs="楷体"/>
          <w:b/>
          <w:bCs/>
          <w:kern w:val="0"/>
          <w:sz w:val="32"/>
          <w:szCs w:val="32"/>
        </w:rPr>
        <w:t>（三）卫生健康支出（类）</w:t>
      </w:r>
    </w:p>
    <w:p w14:paraId="3D470F5B">
      <w:pPr>
        <w:spacing w:before="0" w:beforeAutospacing="1" w:after="0" w:afterAutospacing="1" w:line="560" w:lineRule="atLeast"/>
        <w:ind w:left="0" w:firstLine="640"/>
        <w:jc w:val="both"/>
        <w:rPr>
          <w:rFonts w:hint="default" w:ascii="Times New Roman" w:hAnsi="Times New Roman" w:eastAsia="仿宋" w:cs="Times New Roman"/>
          <w:kern w:val="0"/>
          <w:sz w:val="32"/>
          <w:szCs w:val="32"/>
        </w:rPr>
      </w:pPr>
      <w:r>
        <w:rPr>
          <w:rFonts w:hint="eastAsia" w:ascii="仿宋" w:hAnsi="仿宋" w:eastAsia="仿宋" w:cs="仿宋"/>
          <w:kern w:val="0"/>
          <w:sz w:val="32"/>
          <w:szCs w:val="32"/>
        </w:rPr>
        <w:t>卫生健康支出类决算数为</w:t>
      </w:r>
      <w:r>
        <w:rPr>
          <w:rFonts w:hint="default" w:ascii="Times New Roman" w:hAnsi="Times New Roman" w:eastAsia="仿宋" w:cs="Times New Roman"/>
          <w:kern w:val="0"/>
          <w:sz w:val="32"/>
          <w:szCs w:val="32"/>
        </w:rPr>
        <w:t>5.</w:t>
      </w:r>
      <w:r>
        <w:rPr>
          <w:rFonts w:hint="eastAsia" w:eastAsia="仿宋" w:cs="Times New Roman"/>
          <w:kern w:val="0"/>
          <w:sz w:val="32"/>
          <w:szCs w:val="32"/>
          <w:lang w:val="en-US" w:eastAsia="zh-CN"/>
        </w:rPr>
        <w:t>62</w:t>
      </w:r>
      <w:r>
        <w:rPr>
          <w:rFonts w:hint="eastAsia" w:ascii="仿宋" w:hAnsi="仿宋" w:eastAsia="仿宋" w:cs="仿宋"/>
          <w:kern w:val="0"/>
          <w:sz w:val="32"/>
          <w:szCs w:val="32"/>
        </w:rPr>
        <w:t>万元，与年初预算相比增加</w:t>
      </w:r>
      <w:r>
        <w:rPr>
          <w:rFonts w:hint="eastAsia" w:eastAsia="仿宋" w:cs="Times New Roman"/>
          <w:kern w:val="0"/>
          <w:sz w:val="32"/>
          <w:szCs w:val="32"/>
          <w:lang w:val="en-US" w:eastAsia="zh-CN"/>
        </w:rPr>
        <w:t>0.28</w:t>
      </w:r>
      <w:r>
        <w:rPr>
          <w:rFonts w:hint="eastAsia" w:ascii="仿宋" w:hAnsi="仿宋" w:eastAsia="仿宋" w:cs="仿宋"/>
          <w:kern w:val="0"/>
          <w:sz w:val="32"/>
          <w:szCs w:val="32"/>
        </w:rPr>
        <w:t>万元。其中：</w:t>
      </w:r>
    </w:p>
    <w:p w14:paraId="377CFDBC">
      <w:pPr>
        <w:numPr>
          <w:ilvl w:val="0"/>
          <w:numId w:val="2"/>
        </w:numPr>
        <w:spacing w:before="0" w:beforeAutospacing="1" w:after="0" w:afterAutospacing="1" w:line="560" w:lineRule="atLeast"/>
        <w:ind w:left="0" w:firstLine="640"/>
        <w:jc w:val="both"/>
        <w:rPr>
          <w:rFonts w:hint="default" w:ascii="Times New Roman" w:hAnsi="Times New Roman" w:eastAsia="仿宋" w:cs="Times New Roman"/>
          <w:kern w:val="0"/>
          <w:sz w:val="32"/>
          <w:szCs w:val="32"/>
        </w:rPr>
      </w:pPr>
      <w:r>
        <w:rPr>
          <w:rFonts w:hint="eastAsia" w:ascii="仿宋" w:hAnsi="仿宋" w:eastAsia="仿宋" w:cs="仿宋"/>
          <w:kern w:val="0"/>
          <w:sz w:val="32"/>
          <w:szCs w:val="32"/>
        </w:rPr>
        <w:t>行政事业单位医疗（款）事业单位医疗（项）。年初预算</w:t>
      </w:r>
      <w:r>
        <w:rPr>
          <w:rFonts w:hint="eastAsia" w:eastAsia="仿宋" w:cs="Times New Roman"/>
          <w:kern w:val="0"/>
          <w:sz w:val="32"/>
          <w:szCs w:val="32"/>
          <w:lang w:val="en-US" w:eastAsia="zh-CN"/>
        </w:rPr>
        <w:t>5.34</w:t>
      </w:r>
      <w:r>
        <w:rPr>
          <w:rFonts w:hint="eastAsia" w:ascii="仿宋" w:hAnsi="仿宋" w:eastAsia="仿宋" w:cs="仿宋"/>
          <w:kern w:val="0"/>
          <w:sz w:val="32"/>
          <w:szCs w:val="32"/>
        </w:rPr>
        <w:t>万元，支出决算</w:t>
      </w:r>
      <w:r>
        <w:rPr>
          <w:rFonts w:hint="eastAsia" w:eastAsia="仿宋" w:cs="Times New Roman"/>
          <w:kern w:val="0"/>
          <w:sz w:val="32"/>
          <w:szCs w:val="32"/>
          <w:lang w:val="en-US" w:eastAsia="zh-CN"/>
        </w:rPr>
        <w:t>5.62</w:t>
      </w:r>
      <w:r>
        <w:rPr>
          <w:rFonts w:hint="eastAsia" w:ascii="仿宋" w:hAnsi="仿宋" w:eastAsia="仿宋" w:cs="仿宋"/>
          <w:kern w:val="0"/>
          <w:sz w:val="32"/>
          <w:szCs w:val="32"/>
        </w:rPr>
        <w:t>万元，完成年初预算的</w:t>
      </w:r>
      <w:r>
        <w:rPr>
          <w:rFonts w:hint="eastAsia" w:eastAsia="仿宋" w:cs="Times New Roman"/>
          <w:kern w:val="0"/>
          <w:sz w:val="32"/>
          <w:szCs w:val="32"/>
          <w:lang w:val="en-US" w:eastAsia="zh-CN"/>
        </w:rPr>
        <w:t>105.24</w:t>
      </w:r>
      <w:r>
        <w:rPr>
          <w:rFonts w:hint="default" w:ascii="Times New Roman" w:hAnsi="Times New Roman" w:eastAsia="仿宋" w:cs="Times New Roman"/>
          <w:kern w:val="0"/>
          <w:sz w:val="32"/>
          <w:szCs w:val="32"/>
        </w:rPr>
        <w:t>%</w:t>
      </w:r>
      <w:r>
        <w:rPr>
          <w:rFonts w:hint="eastAsia" w:ascii="仿宋" w:hAnsi="仿宋" w:eastAsia="仿宋" w:cs="仿宋"/>
          <w:kern w:val="0"/>
          <w:sz w:val="32"/>
          <w:szCs w:val="32"/>
        </w:rPr>
        <w:t>。决算数与年初预算数的差异原因：职工社会保险调整基数。</w:t>
      </w:r>
    </w:p>
    <w:p w14:paraId="3AFF51DB">
      <w:pPr>
        <w:spacing w:before="0" w:beforeAutospacing="1" w:after="0" w:afterAutospacing="1" w:line="560" w:lineRule="atLeast"/>
        <w:ind w:left="0" w:firstLine="643"/>
        <w:jc w:val="both"/>
        <w:rPr>
          <w:rFonts w:hint="default" w:ascii="Times New Roman" w:hAnsi="Times New Roman" w:eastAsia="宋体" w:cs="Times New Roman"/>
          <w:kern w:val="0"/>
          <w:sz w:val="24"/>
          <w:szCs w:val="24"/>
        </w:rPr>
      </w:pPr>
      <w:r>
        <w:rPr>
          <w:rFonts w:hint="eastAsia" w:ascii="楷体" w:hAnsi="楷体" w:eastAsia="楷体" w:cs="楷体"/>
          <w:b/>
          <w:bCs/>
          <w:kern w:val="0"/>
          <w:sz w:val="32"/>
          <w:szCs w:val="32"/>
        </w:rPr>
        <w:t>（四）商业服务业等支出（类）</w:t>
      </w:r>
    </w:p>
    <w:p w14:paraId="0D8B8D3A">
      <w:pPr>
        <w:spacing w:before="0" w:beforeAutospacing="1" w:after="0" w:afterAutospacing="1" w:line="560" w:lineRule="atLeast"/>
        <w:ind w:left="0" w:firstLine="640"/>
        <w:jc w:val="both"/>
        <w:rPr>
          <w:rFonts w:hint="default" w:ascii="Times New Roman" w:hAnsi="Times New Roman" w:eastAsia="仿宋" w:cs="Times New Roman"/>
          <w:kern w:val="0"/>
          <w:sz w:val="32"/>
          <w:szCs w:val="32"/>
        </w:rPr>
      </w:pPr>
      <w:r>
        <w:rPr>
          <w:rFonts w:hint="eastAsia" w:ascii="仿宋" w:hAnsi="仿宋" w:eastAsia="仿宋" w:cs="仿宋"/>
          <w:kern w:val="0"/>
          <w:sz w:val="32"/>
          <w:szCs w:val="32"/>
        </w:rPr>
        <w:t>商业服务业等支出类决算数为</w:t>
      </w:r>
      <w:r>
        <w:rPr>
          <w:rFonts w:hint="eastAsia" w:eastAsia="仿宋" w:cs="Times New Roman"/>
          <w:kern w:val="0"/>
          <w:sz w:val="32"/>
          <w:szCs w:val="32"/>
          <w:lang w:val="en-US" w:eastAsia="zh-CN"/>
        </w:rPr>
        <w:t>16.24</w:t>
      </w:r>
      <w:r>
        <w:rPr>
          <w:rFonts w:hint="eastAsia" w:ascii="仿宋" w:hAnsi="仿宋" w:eastAsia="仿宋" w:cs="仿宋"/>
          <w:kern w:val="0"/>
          <w:sz w:val="32"/>
          <w:szCs w:val="32"/>
        </w:rPr>
        <w:t>万元，与年初预算相比增加</w:t>
      </w:r>
      <w:r>
        <w:rPr>
          <w:rFonts w:hint="eastAsia" w:eastAsia="仿宋" w:cs="Times New Roman"/>
          <w:kern w:val="0"/>
          <w:sz w:val="32"/>
          <w:szCs w:val="32"/>
          <w:lang w:val="en-US" w:eastAsia="zh-CN"/>
        </w:rPr>
        <w:t>0</w:t>
      </w:r>
      <w:r>
        <w:rPr>
          <w:rFonts w:hint="eastAsia" w:ascii="仿宋" w:hAnsi="仿宋" w:eastAsia="仿宋" w:cs="仿宋"/>
          <w:kern w:val="0"/>
          <w:sz w:val="32"/>
          <w:szCs w:val="32"/>
        </w:rPr>
        <w:t>万元。其中：</w:t>
      </w:r>
    </w:p>
    <w:p w14:paraId="77D1DC7E">
      <w:pPr>
        <w:numPr>
          <w:ilvl w:val="0"/>
          <w:numId w:val="0"/>
        </w:numPr>
        <w:spacing w:before="0" w:beforeAutospacing="1" w:after="0" w:afterAutospacing="1" w:line="560" w:lineRule="atLeas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商业流通事务（款）其他商业流通事务支出（项）。年初预算</w:t>
      </w:r>
      <w:r>
        <w:rPr>
          <w:rFonts w:hint="eastAsia" w:eastAsia="仿宋" w:cs="Times New Roman"/>
          <w:kern w:val="0"/>
          <w:sz w:val="32"/>
          <w:szCs w:val="32"/>
          <w:lang w:val="en-US" w:eastAsia="zh-CN"/>
        </w:rPr>
        <w:t>1.24</w:t>
      </w:r>
      <w:r>
        <w:rPr>
          <w:rFonts w:hint="eastAsia" w:ascii="仿宋" w:hAnsi="仿宋" w:eastAsia="仿宋" w:cs="仿宋"/>
          <w:kern w:val="0"/>
          <w:sz w:val="32"/>
          <w:szCs w:val="32"/>
        </w:rPr>
        <w:t>万元，支出决算</w:t>
      </w:r>
      <w:r>
        <w:rPr>
          <w:rFonts w:hint="eastAsia" w:eastAsia="仿宋" w:cs="Times New Roman"/>
          <w:kern w:val="0"/>
          <w:sz w:val="32"/>
          <w:szCs w:val="32"/>
          <w:lang w:val="en-US" w:eastAsia="zh-CN"/>
        </w:rPr>
        <w:t>1.39</w:t>
      </w:r>
      <w:r>
        <w:rPr>
          <w:rFonts w:hint="eastAsia" w:ascii="仿宋" w:hAnsi="仿宋" w:eastAsia="仿宋" w:cs="仿宋"/>
          <w:kern w:val="0"/>
          <w:sz w:val="32"/>
          <w:szCs w:val="32"/>
        </w:rPr>
        <w:t>万元，完成年初预算的</w:t>
      </w:r>
      <w:r>
        <w:rPr>
          <w:rFonts w:hint="eastAsia" w:eastAsia="仿宋" w:cs="Times New Roman"/>
          <w:kern w:val="0"/>
          <w:sz w:val="32"/>
          <w:szCs w:val="32"/>
          <w:lang w:val="en-US" w:eastAsia="zh-CN"/>
        </w:rPr>
        <w:t>112.09</w:t>
      </w:r>
      <w:r>
        <w:rPr>
          <w:rFonts w:hint="default" w:ascii="Times New Roman" w:hAnsi="Times New Roman" w:eastAsia="仿宋" w:cs="Times New Roman"/>
          <w:kern w:val="0"/>
          <w:sz w:val="32"/>
          <w:szCs w:val="32"/>
        </w:rPr>
        <w:t>%</w:t>
      </w:r>
      <w:r>
        <w:rPr>
          <w:rFonts w:hint="eastAsia" w:ascii="仿宋" w:hAnsi="仿宋" w:eastAsia="仿宋" w:cs="仿宋"/>
          <w:kern w:val="0"/>
          <w:sz w:val="32"/>
          <w:szCs w:val="32"/>
        </w:rPr>
        <w:t>。决算数与年初预算数的差异原因：</w:t>
      </w:r>
      <w:r>
        <w:rPr>
          <w:rFonts w:hint="eastAsia" w:ascii="仿宋" w:hAnsi="仿宋" w:eastAsia="仿宋" w:cs="仿宋"/>
          <w:b w:val="0"/>
          <w:bCs w:val="0"/>
          <w:kern w:val="0"/>
          <w:sz w:val="32"/>
          <w:szCs w:val="32"/>
          <w:lang w:val="en-US" w:eastAsia="zh-CN" w:bidi="ar-SA"/>
        </w:rPr>
        <w:t>调整部分项目支出</w:t>
      </w:r>
      <w:r>
        <w:rPr>
          <w:rFonts w:hint="eastAsia" w:ascii="仿宋" w:hAnsi="仿宋" w:eastAsia="仿宋" w:cs="仿宋"/>
          <w:kern w:val="0"/>
          <w:sz w:val="32"/>
          <w:szCs w:val="32"/>
        </w:rPr>
        <w:t>。</w:t>
      </w:r>
    </w:p>
    <w:p w14:paraId="3D6F3940">
      <w:pPr>
        <w:pStyle w:val="2"/>
        <w:numPr>
          <w:ilvl w:val="0"/>
          <w:numId w:val="0"/>
        </w:numPr>
        <w:ind w:firstLine="640" w:firstLineChars="200"/>
        <w:rPr>
          <w:rFonts w:hint="default"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2、商业流通事务（款）其他涉外发展服务支出（项）。年初预算15元，支出决算14.85万元，完成年初预算的99</w:t>
      </w:r>
      <w:r>
        <w:rPr>
          <w:rFonts w:hint="default" w:ascii="仿宋" w:hAnsi="仿宋" w:eastAsia="仿宋" w:cs="仿宋"/>
          <w:b w:val="0"/>
          <w:bCs w:val="0"/>
          <w:kern w:val="0"/>
          <w:sz w:val="32"/>
          <w:szCs w:val="32"/>
          <w:lang w:val="en-US" w:eastAsia="zh-CN" w:bidi="ar-SA"/>
        </w:rPr>
        <w:t>%</w:t>
      </w:r>
      <w:r>
        <w:rPr>
          <w:rFonts w:hint="eastAsia" w:ascii="仿宋" w:hAnsi="仿宋" w:eastAsia="仿宋" w:cs="仿宋"/>
          <w:b w:val="0"/>
          <w:bCs w:val="0"/>
          <w:kern w:val="0"/>
          <w:sz w:val="32"/>
          <w:szCs w:val="32"/>
          <w:lang w:val="en-US" w:eastAsia="zh-CN" w:bidi="ar-SA"/>
        </w:rPr>
        <w:t>。决算数与年初预算数的差异原因：调整部分项目支出。</w:t>
      </w:r>
    </w:p>
    <w:p w14:paraId="6D34CB41">
      <w:pPr>
        <w:spacing w:before="0" w:beforeAutospacing="1" w:after="0" w:afterAutospacing="1" w:line="560" w:lineRule="atLeast"/>
        <w:ind w:left="0" w:firstLine="643"/>
        <w:jc w:val="both"/>
        <w:rPr>
          <w:rFonts w:hint="default" w:ascii="Times New Roman" w:hAnsi="Times New Roman" w:eastAsia="宋体" w:cs="Times New Roman"/>
          <w:kern w:val="0"/>
          <w:sz w:val="24"/>
          <w:szCs w:val="24"/>
        </w:rPr>
      </w:pPr>
      <w:r>
        <w:rPr>
          <w:rFonts w:hint="eastAsia" w:ascii="楷体" w:hAnsi="楷体" w:eastAsia="楷体" w:cs="楷体"/>
          <w:b/>
          <w:bCs/>
          <w:kern w:val="0"/>
          <w:sz w:val="32"/>
          <w:szCs w:val="32"/>
        </w:rPr>
        <w:t>（五）住房保障支出（类）</w:t>
      </w:r>
    </w:p>
    <w:p w14:paraId="0B133F1A">
      <w:pPr>
        <w:spacing w:before="0" w:beforeAutospacing="1" w:after="0" w:afterAutospacing="1" w:line="560" w:lineRule="atLeast"/>
        <w:ind w:left="0" w:firstLine="640"/>
        <w:jc w:val="both"/>
        <w:rPr>
          <w:rFonts w:hint="default" w:ascii="Times New Roman" w:hAnsi="Times New Roman" w:eastAsia="仿宋" w:cs="Times New Roman"/>
          <w:kern w:val="0"/>
          <w:sz w:val="32"/>
          <w:szCs w:val="32"/>
        </w:rPr>
      </w:pPr>
      <w:r>
        <w:rPr>
          <w:rFonts w:hint="eastAsia" w:ascii="仿宋" w:hAnsi="仿宋" w:eastAsia="仿宋" w:cs="仿宋"/>
          <w:kern w:val="0"/>
          <w:sz w:val="32"/>
          <w:szCs w:val="32"/>
        </w:rPr>
        <w:t>住房保障支出类决算数为</w:t>
      </w:r>
      <w:r>
        <w:rPr>
          <w:rFonts w:hint="eastAsia" w:eastAsia="仿宋" w:cs="Times New Roman"/>
          <w:kern w:val="0"/>
          <w:sz w:val="32"/>
          <w:szCs w:val="32"/>
          <w:lang w:val="en-US" w:eastAsia="zh-CN"/>
        </w:rPr>
        <w:t>11.44</w:t>
      </w:r>
      <w:r>
        <w:rPr>
          <w:rFonts w:hint="eastAsia" w:ascii="仿宋" w:hAnsi="仿宋" w:eastAsia="仿宋" w:cs="仿宋"/>
          <w:kern w:val="0"/>
          <w:sz w:val="32"/>
          <w:szCs w:val="32"/>
        </w:rPr>
        <w:t>元，与年初预算相比增加</w:t>
      </w:r>
      <w:r>
        <w:rPr>
          <w:rFonts w:hint="eastAsia" w:eastAsia="仿宋" w:cs="Times New Roman"/>
          <w:kern w:val="0"/>
          <w:sz w:val="32"/>
          <w:szCs w:val="32"/>
          <w:lang w:val="en-US" w:eastAsia="zh-CN"/>
        </w:rPr>
        <w:t>1.16</w:t>
      </w:r>
      <w:r>
        <w:rPr>
          <w:rFonts w:hint="eastAsia" w:ascii="仿宋" w:hAnsi="仿宋" w:eastAsia="仿宋" w:cs="仿宋"/>
          <w:kern w:val="0"/>
          <w:sz w:val="32"/>
          <w:szCs w:val="32"/>
        </w:rPr>
        <w:t>万元。其中：</w:t>
      </w:r>
    </w:p>
    <w:p w14:paraId="6DE14372">
      <w:pPr>
        <w:spacing w:before="0" w:beforeAutospacing="1" w:after="0" w:afterAutospacing="1" w:line="560" w:lineRule="atLeast"/>
        <w:ind w:left="0"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w:t>
      </w:r>
      <w:r>
        <w:rPr>
          <w:rFonts w:hint="eastAsia" w:ascii="仿宋" w:hAnsi="仿宋" w:eastAsia="仿宋" w:cs="仿宋"/>
          <w:kern w:val="0"/>
          <w:sz w:val="32"/>
          <w:szCs w:val="32"/>
        </w:rPr>
        <w:t>．住房改革支出（款）住房公积金（项）。年初预算</w:t>
      </w:r>
      <w:r>
        <w:rPr>
          <w:rFonts w:hint="eastAsia" w:eastAsia="仿宋" w:cs="Times New Roman"/>
          <w:kern w:val="0"/>
          <w:sz w:val="32"/>
          <w:szCs w:val="32"/>
          <w:lang w:val="en-US" w:eastAsia="zh-CN"/>
        </w:rPr>
        <w:t>10.28</w:t>
      </w:r>
      <w:r>
        <w:rPr>
          <w:rFonts w:hint="eastAsia" w:ascii="仿宋" w:hAnsi="仿宋" w:eastAsia="仿宋" w:cs="仿宋"/>
          <w:kern w:val="0"/>
          <w:sz w:val="32"/>
          <w:szCs w:val="32"/>
        </w:rPr>
        <w:t>万元，支出决算</w:t>
      </w:r>
      <w:r>
        <w:rPr>
          <w:rFonts w:hint="eastAsia" w:eastAsia="仿宋" w:cs="Times New Roman"/>
          <w:kern w:val="0"/>
          <w:sz w:val="32"/>
          <w:szCs w:val="32"/>
          <w:lang w:val="en-US" w:eastAsia="zh-CN"/>
        </w:rPr>
        <w:t>11.44</w:t>
      </w:r>
      <w:r>
        <w:rPr>
          <w:rFonts w:hint="eastAsia" w:ascii="仿宋" w:hAnsi="仿宋" w:eastAsia="仿宋" w:cs="仿宋"/>
          <w:kern w:val="0"/>
          <w:sz w:val="32"/>
          <w:szCs w:val="32"/>
        </w:rPr>
        <w:t>万元，完成年初预算的</w:t>
      </w:r>
      <w:r>
        <w:rPr>
          <w:rFonts w:hint="eastAsia" w:eastAsia="仿宋" w:cs="Times New Roman"/>
          <w:kern w:val="0"/>
          <w:sz w:val="32"/>
          <w:szCs w:val="32"/>
          <w:lang w:val="en-US" w:eastAsia="zh-CN"/>
        </w:rPr>
        <w:t>111.28</w:t>
      </w:r>
      <w:r>
        <w:rPr>
          <w:rFonts w:hint="default" w:ascii="Times New Roman" w:hAnsi="Times New Roman" w:eastAsia="仿宋" w:cs="Times New Roman"/>
          <w:kern w:val="0"/>
          <w:sz w:val="32"/>
          <w:szCs w:val="32"/>
        </w:rPr>
        <w:t>%</w:t>
      </w:r>
      <w:r>
        <w:rPr>
          <w:rFonts w:hint="eastAsia" w:ascii="仿宋" w:hAnsi="仿宋" w:eastAsia="仿宋" w:cs="仿宋"/>
          <w:kern w:val="0"/>
          <w:sz w:val="32"/>
          <w:szCs w:val="32"/>
        </w:rPr>
        <w:t>。决算数与年初预算数的差异原因：职工住房公积金调整基数。</w:t>
      </w:r>
    </w:p>
    <w:p w14:paraId="6A213704">
      <w:pPr>
        <w:widowControl/>
        <w:spacing w:before="240" w:after="240"/>
        <w:rPr>
          <w:rFonts w:ascii="Times New Roman" w:hAnsi="Times New Roman" w:eastAsia="Times New Roman" w:cs="Times New Roman"/>
          <w:kern w:val="0"/>
          <w:sz w:val="24"/>
        </w:rPr>
      </w:pPr>
    </w:p>
    <w:p w14:paraId="2A3DEEC0">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7F42165F">
      <w:pPr>
        <w:spacing w:before="0" w:beforeAutospacing="1" w:after="0" w:afterAutospacing="1" w:line="560" w:lineRule="atLeast"/>
        <w:ind w:left="0" w:firstLine="640"/>
        <w:jc w:val="both"/>
        <w:rPr>
          <w:rFonts w:hint="eastAsia" w:ascii="仿宋" w:hAnsi="仿宋" w:eastAsia="仿宋" w:cs="仿宋"/>
          <w:kern w:val="0"/>
          <w:sz w:val="32"/>
          <w:szCs w:val="32"/>
        </w:rPr>
      </w:pPr>
      <w:r>
        <w:rPr>
          <w:rFonts w:hint="eastAsia" w:ascii="仿宋" w:hAnsi="仿宋" w:eastAsia="仿宋" w:cs="仿宋"/>
          <w:kern w:val="0"/>
          <w:sz w:val="32"/>
          <w:szCs w:val="32"/>
          <w:lang w:eastAsia="zh-CN"/>
        </w:rPr>
        <w:t>包头市口岸服务中心</w:t>
      </w:r>
      <w:r>
        <w:rPr>
          <w:rFonts w:hint="eastAsia" w:ascii="仿宋" w:hAnsi="仿宋" w:eastAsia="仿宋" w:cs="仿宋"/>
          <w:kern w:val="0"/>
          <w:sz w:val="32"/>
          <w:szCs w:val="32"/>
        </w:rPr>
        <w:t xml:space="preserve"> 2023年度一般公共预算财政拨款基本支出决算 155.45万元，其中：</w:t>
      </w:r>
    </w:p>
    <w:p w14:paraId="698F38FB">
      <w:pPr>
        <w:spacing w:before="0" w:beforeAutospacing="1" w:after="0" w:afterAutospacing="1" w:line="560" w:lineRule="atLeast"/>
        <w:ind w:left="0" w:firstLine="640"/>
        <w:jc w:val="both"/>
        <w:rPr>
          <w:rFonts w:hint="eastAsia" w:ascii="仿宋" w:hAnsi="仿宋" w:eastAsia="仿宋" w:cs="仿宋"/>
          <w:kern w:val="0"/>
          <w:sz w:val="32"/>
          <w:szCs w:val="32"/>
        </w:rPr>
      </w:pPr>
      <w:r>
        <w:rPr>
          <w:rFonts w:hint="eastAsia" w:ascii="仿宋" w:hAnsi="仿宋" w:eastAsia="仿宋" w:cs="仿宋"/>
          <w:kern w:val="0"/>
          <w:sz w:val="32"/>
          <w:szCs w:val="32"/>
        </w:rPr>
        <w:t>（一）人员经费 146.01万元。主要包括：基本工资</w:t>
      </w:r>
      <w:r>
        <w:rPr>
          <w:rFonts w:hint="eastAsia" w:ascii="仿宋" w:hAnsi="仿宋" w:eastAsia="仿宋" w:cs="仿宋"/>
          <w:kern w:val="0"/>
          <w:sz w:val="32"/>
          <w:szCs w:val="32"/>
          <w:lang w:val="en-US" w:eastAsia="zh-CN"/>
        </w:rPr>
        <w:t>40.37万元</w:t>
      </w:r>
      <w:r>
        <w:rPr>
          <w:rFonts w:hint="eastAsia" w:ascii="仿宋" w:hAnsi="仿宋" w:eastAsia="仿宋" w:cs="仿宋"/>
          <w:kern w:val="0"/>
          <w:sz w:val="32"/>
          <w:szCs w:val="32"/>
        </w:rPr>
        <w:t>、津贴补贴</w:t>
      </w:r>
      <w:r>
        <w:rPr>
          <w:rFonts w:hint="eastAsia" w:ascii="仿宋" w:hAnsi="仿宋" w:eastAsia="仿宋" w:cs="仿宋"/>
          <w:kern w:val="0"/>
          <w:sz w:val="32"/>
          <w:szCs w:val="32"/>
          <w:lang w:val="en-US" w:eastAsia="zh-CN"/>
        </w:rPr>
        <w:t>12.01万元</w:t>
      </w:r>
      <w:r>
        <w:rPr>
          <w:rFonts w:hint="eastAsia" w:ascii="仿宋" w:hAnsi="仿宋" w:eastAsia="仿宋" w:cs="仿宋"/>
          <w:kern w:val="0"/>
          <w:sz w:val="32"/>
          <w:szCs w:val="32"/>
        </w:rPr>
        <w:t>、奖金</w:t>
      </w:r>
      <w:r>
        <w:rPr>
          <w:rFonts w:hint="eastAsia" w:ascii="仿宋" w:hAnsi="仿宋" w:eastAsia="仿宋" w:cs="仿宋"/>
          <w:kern w:val="0"/>
          <w:sz w:val="32"/>
          <w:szCs w:val="32"/>
          <w:lang w:val="en-US" w:eastAsia="zh-CN"/>
        </w:rPr>
        <w:t>23.78万元</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绩效工资36.96万元、机关事业单位基本养老保险缴费14万元、职工基本医疗保险缴费5.62万元、其他社会保障缴费1.83万元、住房公积金11.44万元</w:t>
      </w:r>
      <w:r>
        <w:rPr>
          <w:rFonts w:hint="eastAsia" w:ascii="仿宋" w:hAnsi="仿宋" w:eastAsia="仿宋" w:cs="仿宋"/>
          <w:kern w:val="0"/>
          <w:sz w:val="32"/>
          <w:szCs w:val="32"/>
        </w:rPr>
        <w:t>。</w:t>
      </w:r>
    </w:p>
    <w:p w14:paraId="307C894E">
      <w:pPr>
        <w:spacing w:before="0" w:beforeAutospacing="1" w:after="0" w:afterAutospacing="1" w:line="560" w:lineRule="atLeast"/>
        <w:jc w:val="both"/>
        <w:rPr>
          <w:rFonts w:ascii="Times New Roman" w:hAnsi="Times New Roman" w:eastAsia="Times New Roman" w:cs="Times New Roman"/>
          <w:kern w:val="0"/>
          <w:sz w:val="24"/>
        </w:rPr>
      </w:pPr>
      <w:r>
        <w:rPr>
          <w:rFonts w:hint="eastAsia" w:ascii="仿宋" w:hAnsi="仿宋" w:eastAsia="仿宋" w:cs="仿宋"/>
          <w:kern w:val="0"/>
          <w:sz w:val="32"/>
          <w:szCs w:val="32"/>
        </w:rPr>
        <w:t>    （二）公用经费 9.44万元。主要包括：办公费</w:t>
      </w:r>
      <w:r>
        <w:rPr>
          <w:rFonts w:hint="eastAsia" w:ascii="仿宋" w:hAnsi="仿宋" w:eastAsia="仿宋" w:cs="仿宋"/>
          <w:kern w:val="0"/>
          <w:sz w:val="32"/>
          <w:szCs w:val="32"/>
          <w:lang w:val="en-US" w:eastAsia="zh-CN"/>
        </w:rPr>
        <w:t>0.44万元</w:t>
      </w:r>
      <w:r>
        <w:rPr>
          <w:rFonts w:hint="eastAsia" w:ascii="仿宋" w:hAnsi="仿宋" w:eastAsia="仿宋" w:cs="仿宋"/>
          <w:kern w:val="0"/>
          <w:sz w:val="32"/>
          <w:szCs w:val="32"/>
        </w:rPr>
        <w:t>、印刷费</w:t>
      </w:r>
      <w:r>
        <w:rPr>
          <w:rFonts w:hint="eastAsia" w:ascii="仿宋" w:hAnsi="仿宋" w:eastAsia="仿宋" w:cs="仿宋"/>
          <w:kern w:val="0"/>
          <w:sz w:val="32"/>
          <w:szCs w:val="32"/>
          <w:lang w:val="en-US" w:eastAsia="zh-CN"/>
        </w:rPr>
        <w:t>0.05万元</w:t>
      </w:r>
      <w:r>
        <w:rPr>
          <w:rFonts w:hint="eastAsia" w:ascii="仿宋" w:hAnsi="仿宋" w:eastAsia="仿宋" w:cs="仿宋"/>
          <w:kern w:val="0"/>
          <w:sz w:val="32"/>
          <w:szCs w:val="32"/>
        </w:rPr>
        <w:t>、邮电费</w:t>
      </w:r>
      <w:r>
        <w:rPr>
          <w:rFonts w:hint="eastAsia" w:ascii="仿宋" w:hAnsi="仿宋" w:eastAsia="仿宋" w:cs="仿宋"/>
          <w:kern w:val="0"/>
          <w:sz w:val="32"/>
          <w:szCs w:val="32"/>
          <w:lang w:val="en-US" w:eastAsia="zh-CN"/>
        </w:rPr>
        <w:t>0.07万元</w:t>
      </w:r>
      <w:r>
        <w:rPr>
          <w:rFonts w:hint="eastAsia" w:ascii="仿宋" w:hAnsi="仿宋" w:eastAsia="仿宋" w:cs="仿宋"/>
          <w:kern w:val="0"/>
          <w:sz w:val="32"/>
          <w:szCs w:val="32"/>
        </w:rPr>
        <w:t>、差旅费</w:t>
      </w:r>
      <w:r>
        <w:rPr>
          <w:rFonts w:hint="eastAsia" w:ascii="仿宋" w:hAnsi="仿宋" w:eastAsia="仿宋" w:cs="仿宋"/>
          <w:kern w:val="0"/>
          <w:sz w:val="32"/>
          <w:szCs w:val="32"/>
          <w:lang w:val="en-US" w:eastAsia="zh-CN"/>
        </w:rPr>
        <w:t>1.92万元</w:t>
      </w:r>
      <w:r>
        <w:rPr>
          <w:rFonts w:hint="eastAsia" w:ascii="仿宋" w:hAnsi="仿宋" w:eastAsia="仿宋" w:cs="仿宋"/>
          <w:kern w:val="0"/>
          <w:sz w:val="32"/>
          <w:szCs w:val="32"/>
        </w:rPr>
        <w:t>、培训费</w:t>
      </w:r>
      <w:r>
        <w:rPr>
          <w:rFonts w:hint="eastAsia" w:ascii="仿宋" w:hAnsi="仿宋" w:eastAsia="仿宋" w:cs="仿宋"/>
          <w:kern w:val="0"/>
          <w:sz w:val="32"/>
          <w:szCs w:val="32"/>
          <w:lang w:val="en-US" w:eastAsia="zh-CN"/>
        </w:rPr>
        <w:t>0.1万元</w:t>
      </w:r>
      <w:r>
        <w:rPr>
          <w:rFonts w:hint="eastAsia" w:ascii="仿宋" w:hAnsi="仿宋" w:eastAsia="仿宋" w:cs="仿宋"/>
          <w:kern w:val="0"/>
          <w:sz w:val="32"/>
          <w:szCs w:val="32"/>
        </w:rPr>
        <w:t>、委托业务费</w:t>
      </w:r>
      <w:r>
        <w:rPr>
          <w:rFonts w:hint="eastAsia" w:ascii="仿宋" w:hAnsi="仿宋" w:eastAsia="仿宋" w:cs="仿宋"/>
          <w:kern w:val="0"/>
          <w:sz w:val="32"/>
          <w:szCs w:val="32"/>
          <w:lang w:val="en-US" w:eastAsia="zh-CN"/>
        </w:rPr>
        <w:t>0.68万元</w:t>
      </w:r>
      <w:r>
        <w:rPr>
          <w:rFonts w:hint="eastAsia" w:ascii="仿宋" w:hAnsi="仿宋" w:eastAsia="仿宋" w:cs="仿宋"/>
          <w:kern w:val="0"/>
          <w:sz w:val="32"/>
          <w:szCs w:val="32"/>
        </w:rPr>
        <w:t>、工会经费</w:t>
      </w:r>
      <w:r>
        <w:rPr>
          <w:rFonts w:hint="eastAsia" w:ascii="仿宋" w:hAnsi="仿宋" w:eastAsia="仿宋" w:cs="仿宋"/>
          <w:kern w:val="0"/>
          <w:sz w:val="32"/>
          <w:szCs w:val="32"/>
          <w:lang w:val="en-US" w:eastAsia="zh-CN"/>
        </w:rPr>
        <w:t>1.64万元</w:t>
      </w:r>
      <w:r>
        <w:rPr>
          <w:rFonts w:hint="eastAsia" w:ascii="仿宋" w:hAnsi="仿宋" w:eastAsia="仿宋" w:cs="仿宋"/>
          <w:kern w:val="0"/>
          <w:sz w:val="32"/>
          <w:szCs w:val="32"/>
        </w:rPr>
        <w:t>、福利费</w:t>
      </w:r>
      <w:r>
        <w:rPr>
          <w:rFonts w:hint="eastAsia" w:ascii="仿宋" w:hAnsi="仿宋" w:eastAsia="仿宋" w:cs="仿宋"/>
          <w:kern w:val="0"/>
          <w:sz w:val="32"/>
          <w:szCs w:val="32"/>
          <w:lang w:val="en-US" w:eastAsia="zh-CN"/>
        </w:rPr>
        <w:t>2.04万元</w:t>
      </w:r>
      <w:r>
        <w:rPr>
          <w:rFonts w:hint="eastAsia" w:ascii="仿宋" w:hAnsi="仿宋" w:eastAsia="仿宋" w:cs="仿宋"/>
          <w:kern w:val="0"/>
          <w:sz w:val="32"/>
          <w:szCs w:val="32"/>
        </w:rPr>
        <w:t>、公务用车运行维护费</w:t>
      </w:r>
      <w:r>
        <w:rPr>
          <w:rFonts w:hint="eastAsia" w:ascii="仿宋" w:hAnsi="仿宋" w:eastAsia="仿宋" w:cs="仿宋"/>
          <w:kern w:val="0"/>
          <w:sz w:val="32"/>
          <w:szCs w:val="32"/>
          <w:lang w:val="en-US" w:eastAsia="zh-CN"/>
        </w:rPr>
        <w:t>2.5万元</w:t>
      </w:r>
      <w:r>
        <w:rPr>
          <w:rFonts w:hint="eastAsia" w:ascii="仿宋" w:hAnsi="仿宋" w:eastAsia="仿宋" w:cs="仿宋"/>
          <w:kern w:val="0"/>
          <w:sz w:val="32"/>
          <w:szCs w:val="32"/>
        </w:rPr>
        <w:t>。</w:t>
      </w:r>
    </w:p>
    <w:p w14:paraId="6EE5A99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14:paraId="15C8AB74">
      <w:pPr>
        <w:spacing w:before="0" w:beforeAutospacing="1" w:after="0" w:afterAutospacing="1" w:line="560" w:lineRule="atLeast"/>
        <w:jc w:val="both"/>
        <w:rPr>
          <w:rFonts w:hint="eastAsia" w:ascii="仿宋" w:hAnsi="仿宋" w:eastAsia="仿宋" w:cs="仿宋"/>
          <w:kern w:val="0"/>
          <w:sz w:val="32"/>
          <w:szCs w:val="32"/>
          <w:lang w:val="en-US" w:eastAsia="zh-CN"/>
        </w:rPr>
      </w:pPr>
      <w:r>
        <w:rPr>
          <w:rFonts w:ascii="fang_song_gb2312" w:hAnsi="fang_song_gb2312" w:eastAsia="fang_song_gb2312" w:cs="fang_song_gb2312"/>
          <w:kern w:val="0"/>
          <w:sz w:val="27"/>
          <w:szCs w:val="27"/>
        </w:rPr>
        <w:t>   </w:t>
      </w:r>
      <w:r>
        <w:rPr>
          <w:rFonts w:hint="eastAsia" w:ascii="仿宋" w:hAnsi="仿宋" w:eastAsia="仿宋" w:cs="仿宋"/>
          <w:kern w:val="0"/>
          <w:sz w:val="32"/>
          <w:szCs w:val="32"/>
          <w:lang w:val="en-US" w:eastAsia="zh-CN"/>
        </w:rPr>
        <w:t xml:space="preserve"> 包头市口岸服务中心 2023年度一般公共预算财政拨款项目支出决算 200.46万元，其中：</w:t>
      </w:r>
    </w:p>
    <w:p w14:paraId="70EDF35B">
      <w:pPr>
        <w:spacing w:before="0" w:beforeAutospacing="1" w:after="0" w:afterAutospacing="1" w:line="560" w:lineRule="atLeast"/>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（一）商品和服务支出 199.36万元。主要包括：办公费3.22万元、印刷费0.78万元、邮电费3.24万元、差旅费6.2万元、维修（护）费21万元、会议费5.84万元、劳务费80.95万元、委托业务费23.4万元、其他交通费用52.72万元、其他商品和服务支出2.01万元。</w:t>
      </w:r>
    </w:p>
    <w:p w14:paraId="6729ECAA">
      <w:pPr>
        <w:spacing w:before="0" w:beforeAutospacing="1" w:after="0" w:afterAutospacing="1" w:line="560" w:lineRule="atLeast"/>
        <w:jc w:val="both"/>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（二）资本性支出1.11万元。主要包括：办公设备购置1.11万元。</w:t>
      </w:r>
    </w:p>
    <w:p w14:paraId="1CD24250">
      <w:pPr>
        <w:spacing w:before="0" w:beforeAutospacing="1" w:after="0" w:afterAutospacing="1" w:line="560" w:lineRule="atLeast"/>
        <w:jc w:val="both"/>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33BDC850">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14:paraId="66AF88B4">
      <w:pPr>
        <w:widowControl/>
        <w:spacing w:before="240" w:after="240"/>
        <w:rPr>
          <w:rFonts w:hint="eastAsia" w:ascii="仿宋" w:hAnsi="仿宋" w:eastAsia="仿宋" w:cs="仿宋"/>
          <w:kern w:val="0"/>
          <w:sz w:val="32"/>
          <w:szCs w:val="32"/>
          <w:lang w:val="en-US" w:eastAsia="zh-CN"/>
        </w:rPr>
      </w:pPr>
      <w:r>
        <w:rPr>
          <w:rFonts w:ascii="fang_song_gb2312" w:hAnsi="fang_song_gb2312" w:eastAsia="fang_song_gb2312" w:cs="fang_song_gb2312"/>
          <w:kern w:val="0"/>
          <w:sz w:val="27"/>
          <w:szCs w:val="27"/>
        </w:rPr>
        <w:t>   </w:t>
      </w:r>
      <w:r>
        <w:rPr>
          <w:rFonts w:hint="eastAsia" w:ascii="fang_song_gb2312" w:hAnsi="fang_song_gb2312" w:eastAsia="宋体" w:cs="fang_song_gb2312"/>
          <w:kern w:val="0"/>
          <w:sz w:val="27"/>
          <w:szCs w:val="27"/>
          <w:lang w:val="en-US" w:eastAsia="zh-CN"/>
        </w:rPr>
        <w:t xml:space="preserve"> </w:t>
      </w:r>
      <w:r>
        <w:rPr>
          <w:rFonts w:ascii="fang_song_gb2312" w:hAnsi="fang_song_gb2312" w:eastAsia="fang_song_gb2312" w:cs="fang_song_gb2312"/>
          <w:kern w:val="0"/>
          <w:sz w:val="27"/>
          <w:szCs w:val="27"/>
        </w:rPr>
        <w:t xml:space="preserve"> </w:t>
      </w:r>
      <w:r>
        <w:rPr>
          <w:rFonts w:hint="eastAsia" w:ascii="仿宋" w:hAnsi="仿宋" w:eastAsia="仿宋" w:cs="仿宋"/>
          <w:kern w:val="0"/>
          <w:sz w:val="32"/>
          <w:szCs w:val="32"/>
          <w:lang w:val="en-US" w:eastAsia="zh-CN"/>
        </w:rPr>
        <w:t>包头市口岸服务中心 2023年度财政拨款“三公”经费全年预算 2.50万元，支出决算 2.50万元，完成预算的 100.00%。其中：因公出国（境）费全年预算 0.00万元，支出决算 0.00万元，完成预算的 0%；公务用车购置及运行维护费全年预算 2.50万元，支出决算 2.50万元，完成预算的 100.00%；公务接待费全年预算 0.00万元，支出决算 0.00万元，完成预算的0%。2023年度一般公共预算财政拨款“三公”经费支出决算与预算无差异。</w:t>
      </w:r>
    </w:p>
    <w:p w14:paraId="6C960157">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4A8B2608">
      <w:pPr>
        <w:widowControl/>
        <w:spacing w:before="240" w:after="240"/>
        <w:rPr>
          <w:rFonts w:hint="eastAsia" w:ascii="仿宋" w:hAnsi="仿宋" w:eastAsia="仿宋" w:cs="仿宋"/>
          <w:kern w:val="0"/>
          <w:sz w:val="32"/>
          <w:szCs w:val="32"/>
          <w:lang w:val="en-US" w:eastAsia="zh-CN"/>
        </w:rPr>
      </w:pPr>
      <w:r>
        <w:rPr>
          <w:rFonts w:ascii="fang_song_gb2312" w:hAnsi="fang_song_gb2312" w:eastAsia="fang_song_gb2312" w:cs="fang_song_gb2312"/>
          <w:kern w:val="0"/>
          <w:sz w:val="27"/>
          <w:szCs w:val="27"/>
        </w:rPr>
        <w:t>   </w:t>
      </w:r>
      <w:r>
        <w:rPr>
          <w:rFonts w:hint="eastAsia" w:ascii="fang_song_gb2312" w:hAnsi="fang_song_gb2312" w:eastAsia="宋体" w:cs="fang_song_gb2312"/>
          <w:kern w:val="0"/>
          <w:sz w:val="27"/>
          <w:szCs w:val="27"/>
          <w:lang w:val="en-US" w:eastAsia="zh-CN"/>
        </w:rPr>
        <w:t xml:space="preserve"> </w:t>
      </w:r>
      <w:r>
        <w:rPr>
          <w:rFonts w:ascii="fang_song_gb2312" w:hAnsi="fang_song_gb2312" w:eastAsia="fang_song_gb2312" w:cs="fang_song_gb2312"/>
          <w:kern w:val="0"/>
          <w:sz w:val="27"/>
          <w:szCs w:val="27"/>
        </w:rPr>
        <w:t xml:space="preserve"> </w:t>
      </w:r>
      <w:r>
        <w:rPr>
          <w:rFonts w:hint="eastAsia" w:ascii="仿宋" w:hAnsi="仿宋" w:eastAsia="仿宋" w:cs="仿宋"/>
          <w:kern w:val="0"/>
          <w:sz w:val="32"/>
          <w:szCs w:val="32"/>
          <w:lang w:val="en-US" w:eastAsia="zh-CN"/>
        </w:rPr>
        <w:t>包头市口岸服务中心 2023年度财政拨款“三公”经费支出 2.50万元。因公出国（境）费支出 0.00万元，占 0.00%；公务用车购置及运行维护费支出 2.50万元，占 100.00%；公务接待费支出 0.00万元，占 0.00%。其中：</w:t>
      </w:r>
    </w:p>
    <w:p w14:paraId="0EA27A2E">
      <w:pPr>
        <w:widowControl/>
        <w:spacing w:before="240" w:after="24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1.因公出国（境）费支出 0.00万元，全年出国（境）团组0 个，累计0 人次。与上年决算相比，增加0.00万元，增长0.00%，变动原因：不涉及此项内容。</w:t>
      </w:r>
    </w:p>
    <w:p w14:paraId="11C36CEF">
      <w:pPr>
        <w:widowControl/>
        <w:spacing w:before="240" w:after="24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2.公务用车购置及运行维护费支出 2.50万元。其中：</w:t>
      </w:r>
    </w:p>
    <w:p w14:paraId="64AC33BE">
      <w:pPr>
        <w:widowControl/>
        <w:spacing w:before="240" w:after="24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（1）公务用车购置支出 0.00万元。本年度使用财政拨款购置公务用车0 辆，开支内容：不涉及此项内容。与上年决算相比，增加0.00万元，增长0.00%，变动原因：不涉及此项内容。</w:t>
      </w:r>
    </w:p>
    <w:p w14:paraId="2C580CF1">
      <w:pPr>
        <w:widowControl/>
        <w:spacing w:before="240" w:after="24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（2）公务用车运行维护费支出 2.50万元。公务用车运行维护费主要用于按规定保留的公务用车的燃料费、维修费、过桥过路费、保险费、安全奖励费用等支出。截至2023年12月31日，使用财政拨款开支的公务用车保有量为1 辆。与上年决算相比，增加 2.00万元，增长398.67%，变动原因：本年</w:t>
      </w:r>
      <w:r>
        <w:rPr>
          <w:rFonts w:hint="eastAsia" w:ascii="仿宋" w:hAnsi="仿宋" w:eastAsia="仿宋" w:cs="仿宋"/>
          <w:kern w:val="0"/>
          <w:sz w:val="32"/>
          <w:szCs w:val="32"/>
          <w:lang w:val="en-US" w:eastAsia="zh-CN" w:bidi="ar-SA"/>
        </w:rPr>
        <w:t>增加满都拉-杭吉跨境铁路项目跑办事务</w:t>
      </w:r>
      <w:r>
        <w:rPr>
          <w:rFonts w:hint="eastAsia" w:ascii="仿宋" w:hAnsi="仿宋" w:eastAsia="仿宋" w:cs="仿宋"/>
          <w:kern w:val="0"/>
          <w:sz w:val="32"/>
          <w:szCs w:val="32"/>
          <w:lang w:val="en-US" w:eastAsia="zh-CN"/>
        </w:rPr>
        <w:t>。</w:t>
      </w:r>
    </w:p>
    <w:p w14:paraId="1F8AA7A7">
      <w:pPr>
        <w:widowControl/>
        <w:spacing w:before="240" w:after="240"/>
        <w:rPr>
          <w:rFonts w:ascii="Times New Roman" w:hAnsi="Times New Roman" w:eastAsia="Times New Roman" w:cs="Times New Roman"/>
          <w:kern w:val="0"/>
          <w:sz w:val="24"/>
        </w:rPr>
      </w:pPr>
      <w:r>
        <w:rPr>
          <w:rFonts w:hint="eastAsia" w:ascii="仿宋" w:hAnsi="仿宋" w:eastAsia="仿宋" w:cs="仿宋"/>
          <w:kern w:val="0"/>
          <w:sz w:val="32"/>
          <w:szCs w:val="32"/>
          <w:lang w:val="en-US" w:eastAsia="zh-CN"/>
        </w:rPr>
        <w:t>    3.公务接待费支出 0.00万元。其中：国内公务接待支出 0.00万元，接待0 批次，0 人次，开支内容：不涉及此项内容；国（境）外公务接待支出 0.00万元，接待0 批次，0 人次，开支内容：不涉及此项内容。与上年决算相比，增加0.00万元，增长0.00%，变动原因：不涉及此项内容。</w:t>
      </w:r>
    </w:p>
    <w:p w14:paraId="7D0D4ADB">
      <w:pPr>
        <w:widowControl/>
        <w:spacing w:before="240" w:after="240"/>
        <w:ind w:firstLine="393"/>
        <w:jc w:val="left"/>
        <w:rPr>
          <w:rFonts w:ascii="黑体" w:hAnsi="黑体" w:eastAsia="黑体" w:cs="黑体"/>
          <w:b/>
          <w:bCs/>
          <w:kern w:val="0"/>
          <w:sz w:val="27"/>
          <w:szCs w:val="27"/>
        </w:rPr>
      </w:pPr>
      <w:r>
        <w:rPr>
          <w:rFonts w:ascii="黑体" w:hAnsi="黑体" w:eastAsia="黑体" w:cs="黑体"/>
          <w:b/>
          <w:bCs/>
          <w:kern w:val="0"/>
          <w:sz w:val="27"/>
          <w:szCs w:val="27"/>
        </w:rPr>
        <w:t>九、政府性基金预算财政拨款支出决算情况说明</w:t>
      </w:r>
    </w:p>
    <w:p w14:paraId="2F9C9D42">
      <w:pPr>
        <w:keepNext w:val="0"/>
        <w:keepLines w:val="0"/>
        <w:pageBreakBefore w:val="0"/>
        <w:widowControl/>
        <w:kinsoku/>
        <w:wordWrap/>
        <w:overflowPunct/>
        <w:topLinePunct w:val="0"/>
        <w:autoSpaceDE/>
        <w:autoSpaceDN/>
        <w:bidi w:val="0"/>
        <w:adjustRightInd w:val="0"/>
        <w:snapToGrid w:val="0"/>
        <w:spacing w:before="240" w:after="240"/>
        <w:ind w:firstLine="391"/>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包头市口岸服务中心2023年度政府性基金预算财政拨款支出决算0万元。与上年决算相比，增加0万元，增长0%，变动原因：本年无政府性基金预算财政拨款收、支、余。</w:t>
      </w:r>
    </w:p>
    <w:p w14:paraId="5F020C1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55C6851F">
      <w:pPr>
        <w:widowControl/>
        <w:spacing w:before="240" w:after="240"/>
        <w:rPr>
          <w:rFonts w:hint="eastAsia" w:ascii="仿宋" w:hAnsi="仿宋" w:eastAsia="仿宋" w:cs="仿宋"/>
          <w:kern w:val="0"/>
          <w:sz w:val="32"/>
          <w:szCs w:val="32"/>
          <w:lang w:val="en-US" w:eastAsia="zh-CN"/>
        </w:rPr>
      </w:pPr>
      <w:r>
        <w:rPr>
          <w:rFonts w:ascii="fang_song_gb2312" w:hAnsi="fang_song_gb2312" w:eastAsia="fang_song_gb2312" w:cs="fang_song_gb2312"/>
          <w:color w:val="0E00FE"/>
          <w:kern w:val="0"/>
          <w:sz w:val="27"/>
          <w:szCs w:val="27"/>
        </w:rPr>
        <w:t>   </w:t>
      </w:r>
      <w:r>
        <w:rPr>
          <w:rFonts w:ascii="fang_song_gb2312" w:hAnsi="fang_song_gb2312" w:eastAsia="fang_song_gb2312" w:cs="fang_song_gb2312"/>
          <w:kern w:val="0"/>
          <w:sz w:val="27"/>
          <w:szCs w:val="27"/>
        </w:rPr>
        <w:t xml:space="preserve">    </w:t>
      </w:r>
      <w:r>
        <w:rPr>
          <w:rFonts w:hint="eastAsia" w:ascii="fang_song_gb2312" w:hAnsi="fang_song_gb2312" w:eastAsia="fang_song_gb2312" w:cs="fang_song_gb2312"/>
          <w:kern w:val="0"/>
          <w:sz w:val="27"/>
          <w:szCs w:val="27"/>
          <w:lang w:val="en-US" w:eastAsia="zh-CN"/>
        </w:rPr>
        <w:t>包头市口岸服务中</w:t>
      </w:r>
      <w:r>
        <w:rPr>
          <w:rFonts w:hint="eastAsia" w:ascii="fang_song_gb2312" w:hAnsi="fang_song_gb2312" w:eastAsia="fang_song_gb2312" w:cs="fang_song_gb2312"/>
          <w:kern w:val="0"/>
          <w:sz w:val="27"/>
          <w:szCs w:val="27"/>
        </w:rPr>
        <w:t>2023年度国有资本经营预算财政拨款支出决算</w:t>
      </w:r>
      <w:r>
        <w:rPr>
          <w:rFonts w:hint="eastAsia" w:ascii="fang_song_gb2312" w:hAnsi="fang_song_gb2312" w:eastAsia="fang_song_gb2312" w:cs="fang_song_gb2312"/>
          <w:kern w:val="0"/>
          <w:sz w:val="27"/>
          <w:szCs w:val="27"/>
          <w:lang w:val="en-US" w:eastAsia="zh-CN"/>
        </w:rPr>
        <w:t>0</w:t>
      </w:r>
      <w:r>
        <w:rPr>
          <w:rFonts w:hint="eastAsia" w:ascii="fang_song_gb2312" w:hAnsi="fang_song_gb2312" w:eastAsia="fang_song_gb2312" w:cs="fang_song_gb2312"/>
          <w:kern w:val="0"/>
          <w:sz w:val="27"/>
          <w:szCs w:val="27"/>
        </w:rPr>
        <w:t>万元。与上年决算相比，增加</w:t>
      </w:r>
      <w:r>
        <w:rPr>
          <w:rFonts w:hint="eastAsia" w:ascii="fang_song_gb2312" w:hAnsi="fang_song_gb2312" w:eastAsia="fang_song_gb2312" w:cs="fang_song_gb2312"/>
          <w:kern w:val="0"/>
          <w:sz w:val="27"/>
          <w:szCs w:val="27"/>
          <w:lang w:val="en-US" w:eastAsia="zh-CN"/>
        </w:rPr>
        <w:t>0</w:t>
      </w:r>
      <w:r>
        <w:rPr>
          <w:rFonts w:hint="eastAsia" w:ascii="fang_song_gb2312" w:hAnsi="fang_song_gb2312" w:eastAsia="fang_song_gb2312" w:cs="fang_song_gb2312"/>
          <w:kern w:val="0"/>
          <w:sz w:val="27"/>
          <w:szCs w:val="27"/>
        </w:rPr>
        <w:t>万元，增长</w:t>
      </w:r>
      <w:r>
        <w:rPr>
          <w:rFonts w:hint="eastAsia" w:ascii="fang_song_gb2312" w:hAnsi="fang_song_gb2312" w:eastAsia="fang_song_gb2312" w:cs="fang_song_gb2312"/>
          <w:kern w:val="0"/>
          <w:sz w:val="27"/>
          <w:szCs w:val="27"/>
          <w:lang w:val="en-US" w:eastAsia="zh-CN"/>
        </w:rPr>
        <w:t>0</w:t>
      </w:r>
      <w:r>
        <w:rPr>
          <w:rFonts w:hint="eastAsia" w:ascii="fang_song_gb2312" w:hAnsi="fang_song_gb2312" w:eastAsia="fang_song_gb2312" w:cs="fang_song_gb2312"/>
          <w:kern w:val="0"/>
          <w:sz w:val="27"/>
          <w:szCs w:val="27"/>
        </w:rPr>
        <w:t>%，变动原因</w:t>
      </w:r>
      <w:r>
        <w:rPr>
          <w:rFonts w:hint="eastAsia" w:ascii="fang_song_gb2312" w:hAnsi="fang_song_gb2312" w:eastAsia="fang_song_gb2312" w:cs="fang_song_gb2312"/>
          <w:kern w:val="0"/>
          <w:sz w:val="27"/>
          <w:szCs w:val="27"/>
          <w:lang w:eastAsia="zh-CN"/>
        </w:rPr>
        <w:t>：</w:t>
      </w:r>
      <w:r>
        <w:rPr>
          <w:rFonts w:hint="eastAsia" w:ascii="fang_song_gb2312" w:hAnsi="fang_song_gb2312" w:eastAsia="fang_song_gb2312" w:cs="fang_song_gb2312"/>
          <w:kern w:val="0"/>
          <w:sz w:val="27"/>
          <w:szCs w:val="27"/>
        </w:rPr>
        <w:t>年无国有资本经营预算财政拨款收、支、余</w:t>
      </w:r>
      <w:r>
        <w:rPr>
          <w:rFonts w:hint="eastAsia" w:ascii="fang_song_gb2312" w:hAnsi="fang_song_gb2312" w:eastAsia="fang_song_gb2312" w:cs="fang_song_gb2312"/>
          <w:kern w:val="0"/>
          <w:sz w:val="27"/>
          <w:szCs w:val="27"/>
          <w:lang w:val="en-US" w:eastAsia="zh-CN"/>
        </w:rPr>
        <w:t>。</w:t>
      </w:r>
    </w:p>
    <w:p w14:paraId="6079C1C7">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十一、机构运行经费支出决算情况说明</w:t>
      </w:r>
    </w:p>
    <w:p w14:paraId="706AE3BC">
      <w:pPr>
        <w:widowControl/>
        <w:spacing w:before="240" w:after="240"/>
        <w:rPr>
          <w:rFonts w:hint="eastAsia" w:ascii="仿宋" w:hAnsi="仿宋" w:eastAsia="仿宋" w:cs="仿宋"/>
          <w:kern w:val="0"/>
          <w:sz w:val="32"/>
          <w:szCs w:val="32"/>
          <w:lang w:val="en-US" w:eastAsia="zh-CN"/>
        </w:rPr>
      </w:pPr>
      <w:r>
        <w:rPr>
          <w:rFonts w:ascii="fang_song_gb2312" w:hAnsi="fang_song_gb2312" w:eastAsia="fang_song_gb2312" w:cs="fang_song_gb2312"/>
          <w:kern w:val="0"/>
          <w:sz w:val="27"/>
          <w:szCs w:val="27"/>
        </w:rPr>
        <w:t xml:space="preserve">    </w:t>
      </w:r>
      <w:r>
        <w:rPr>
          <w:rFonts w:hint="eastAsia" w:ascii="fang_song_gb2312" w:hAnsi="fang_song_gb2312" w:eastAsia="宋体" w:cs="fang_song_gb2312"/>
          <w:kern w:val="0"/>
          <w:sz w:val="27"/>
          <w:szCs w:val="27"/>
          <w:lang w:val="en-US" w:eastAsia="zh-CN"/>
        </w:rPr>
        <w:t xml:space="preserve"> </w:t>
      </w:r>
      <w:r>
        <w:rPr>
          <w:rFonts w:hint="eastAsia" w:ascii="仿宋" w:hAnsi="仿宋" w:eastAsia="仿宋" w:cs="仿宋"/>
          <w:kern w:val="0"/>
          <w:sz w:val="32"/>
          <w:szCs w:val="32"/>
          <w:lang w:val="en-US" w:eastAsia="zh-CN"/>
        </w:rPr>
        <w:t>包头市口岸服务中心 2023年度机构运行经费支出决算 9.44万元。比上年决算相比，增加 4.24万元，增长81.65%，变动原因：本年有人员调动，业务量增加。</w:t>
      </w:r>
    </w:p>
    <w:p w14:paraId="12C9A0D3">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0F2521BB">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w:t>
      </w:r>
      <w:r>
        <w:rPr>
          <w:rFonts w:hint="eastAsia" w:ascii="仿宋" w:hAnsi="仿宋" w:eastAsia="仿宋" w:cs="仿宋"/>
          <w:kern w:val="0"/>
          <w:sz w:val="32"/>
          <w:szCs w:val="32"/>
          <w:lang w:val="en-US" w:eastAsia="zh-CN"/>
        </w:rPr>
        <w:t xml:space="preserve"> 包头市口岸服务中心 2023年度政府采购支出总额 28.79万元，其中：政府采购货物支出 1.47万元、政府采购工程支出 0.00万元、政府采购服务支出 27.32万元。政府采购授予中小企业合同金额 4.17万元，占政府采购支出总额的14.48%，其中：授予小微企业合同金额  4.17万元，占政府采购支出总额的14.48%；货物采购授予中小企业合同金额占货物支出金额的100%，工程采购授予中小企业合同金额占工程支出金额的0%，服务采购授予中小企业合同金额占服务支出金额的0%。</w:t>
      </w:r>
    </w:p>
    <w:p w14:paraId="3D8E36C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74042F40">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fang_song_gb2312" w:hAnsi="fang_song_gb2312" w:eastAsia="宋体" w:cs="fang_song_gb2312"/>
          <w:kern w:val="0"/>
          <w:sz w:val="27"/>
          <w:szCs w:val="27"/>
          <w:lang w:val="en-US" w:eastAsia="zh-CN"/>
        </w:rPr>
        <w:t xml:space="preserve">  </w:t>
      </w:r>
      <w:r>
        <w:rPr>
          <w:rFonts w:hint="eastAsia" w:ascii="仿宋" w:hAnsi="仿宋" w:eastAsia="仿宋" w:cs="仿宋"/>
          <w:kern w:val="0"/>
          <w:sz w:val="32"/>
          <w:szCs w:val="32"/>
          <w:lang w:val="en-US" w:eastAsia="zh-CN"/>
        </w:rPr>
        <w:t>包头市口岸服务中心 截至2023年12月31日，本单位共有车辆 1辆，其中：副部（省）级及以上领导用车0 辆、主要负责人用车 0辆、机要通信用车 1辆、应急保障用车 0辆、执法执勤用车 0辆、特种</w:t>
      </w:r>
      <w:r>
        <w:rPr>
          <w:rFonts w:hint="eastAsia" w:ascii="fang_song_gb2312" w:hAnsi="fang_song_gb2312" w:eastAsia="fang_song_gb2312" w:cs="fang_song_gb2312"/>
          <w:kern w:val="0"/>
          <w:sz w:val="27"/>
          <w:szCs w:val="27"/>
          <w:lang w:val="en-US" w:eastAsia="zh-CN"/>
        </w:rPr>
        <w:t xml:space="preserve">专业技术用车 0辆、离退休干部服务用车 </w:t>
      </w:r>
      <w:r>
        <w:rPr>
          <w:rFonts w:hint="eastAsia" w:ascii="仿宋" w:hAnsi="仿宋" w:eastAsia="仿宋" w:cs="仿宋"/>
          <w:kern w:val="0"/>
          <w:sz w:val="32"/>
          <w:szCs w:val="32"/>
          <w:lang w:val="en-US" w:eastAsia="zh-CN"/>
        </w:rPr>
        <w:t>0辆，其他用车 0辆；单价100万元（含）以上的设备（不含车辆） 0台（套）。</w:t>
      </w:r>
    </w:p>
    <w:p w14:paraId="4AF0F69C">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3D119CCE">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6252933E">
      <w:pPr>
        <w:widowControl/>
        <w:spacing w:before="240" w:after="240"/>
        <w:rPr>
          <w:rFonts w:hint="eastAsia" w:ascii="fang_song_gb2312" w:hAnsi="fang_song_gb2312" w:eastAsia="fang_song_gb2312" w:cs="fang_song_gb2312"/>
          <w:kern w:val="0"/>
          <w:sz w:val="27"/>
          <w:szCs w:val="27"/>
          <w:lang w:val="en-US" w:eastAsia="zh-CN"/>
        </w:rPr>
      </w:pPr>
      <w:r>
        <w:rPr>
          <w:rFonts w:ascii="fang_song_gb2312" w:hAnsi="fang_song_gb2312" w:eastAsia="fang_song_gb2312" w:cs="fang_song_gb2312"/>
          <w:kern w:val="0"/>
          <w:sz w:val="27"/>
          <w:szCs w:val="27"/>
        </w:rPr>
        <w:t xml:space="preserve">    </w:t>
      </w:r>
      <w:r>
        <w:rPr>
          <w:rFonts w:hint="eastAsia" w:ascii="fang_song_gb2312" w:hAnsi="fang_song_gb2312" w:eastAsia="fang_song_gb2312" w:cs="fang_song_gb2312"/>
          <w:kern w:val="0"/>
          <w:sz w:val="27"/>
          <w:szCs w:val="27"/>
          <w:lang w:val="en-US" w:eastAsia="zh-CN"/>
        </w:rPr>
        <w:t>包头市口岸服务中心 根据预算绩效管理要求组织对2023年一般公共预算项目支出全面开展绩效自评，其中一级项目0个，二级项目9个，共涉及资金200.46万元，占一般公共预算项目支出总额的100%；政府性基金预算项目0个，其中，一级项目0 个，二级项目0个，共涉及资金0.00万元，占应纳入绩效自评的政府性基金预算项目支出总额的100%；。</w:t>
      </w:r>
    </w:p>
    <w:p w14:paraId="1FC671FE">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w:t>
      </w:r>
      <w:r>
        <w:rPr>
          <w:rFonts w:hint="eastAsia" w:ascii="kai_ti_gb2312" w:hAnsi="kai_ti_gb2312" w:cs="kai_ti_gb2312"/>
          <w:b/>
          <w:bCs/>
          <w:kern w:val="0"/>
          <w:sz w:val="27"/>
          <w:szCs w:val="27"/>
          <w:lang w:eastAsia="zh-CN"/>
        </w:rPr>
        <w:t>单位</w:t>
      </w:r>
      <w:r>
        <w:rPr>
          <w:rFonts w:ascii="kai_ti_gb2312" w:hAnsi="kai_ti_gb2312" w:eastAsia="kai_ti_gb2312" w:cs="kai_ti_gb2312"/>
          <w:b/>
          <w:bCs/>
          <w:kern w:val="0"/>
          <w:sz w:val="27"/>
          <w:szCs w:val="27"/>
        </w:rPr>
        <w:t>决算中项目绩效自评结果。</w:t>
      </w:r>
    </w:p>
    <w:p w14:paraId="7C859D01">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fang_song_gb2312" w:hAnsi="fang_song_gb2312" w:eastAsia="宋体" w:cs="fang_song_gb2312"/>
          <w:kern w:val="0"/>
          <w:sz w:val="27"/>
          <w:szCs w:val="27"/>
          <w:lang w:eastAsia="zh-CN"/>
        </w:rPr>
        <w:t>包头</w:t>
      </w:r>
      <w:r>
        <w:rPr>
          <w:rFonts w:hint="eastAsia" w:ascii="fang_song_gb2312" w:hAnsi="fang_song_gb2312" w:eastAsia="宋体" w:cs="fang_song_gb2312"/>
          <w:kern w:val="0"/>
          <w:sz w:val="27"/>
          <w:szCs w:val="27"/>
          <w:u w:val="none"/>
          <w:lang w:eastAsia="zh-CN"/>
        </w:rPr>
        <w:t>市口岸服务中心</w:t>
      </w:r>
      <w:r>
        <w:rPr>
          <w:rFonts w:ascii="fang_song_gb2312" w:hAnsi="fang_song_gb2312" w:eastAsia="fang_song_gb2312" w:cs="fang_song_gb2312"/>
          <w:kern w:val="0"/>
          <w:sz w:val="27"/>
          <w:szCs w:val="27"/>
          <w:u w:val="none"/>
        </w:rPr>
        <w:t xml:space="preserve"> </w:t>
      </w:r>
      <w:r>
        <w:rPr>
          <w:rFonts w:ascii="times_new_roman" w:hAnsi="times_new_roman" w:eastAsia="times_new_roman" w:cs="times_new_roman"/>
          <w:kern w:val="0"/>
          <w:sz w:val="27"/>
          <w:szCs w:val="27"/>
          <w:u w:val="none"/>
        </w:rPr>
        <w:t>2023</w:t>
      </w:r>
      <w:r>
        <w:rPr>
          <w:rFonts w:ascii="fang_song_gb2312" w:hAnsi="fang_song_gb2312" w:eastAsia="fang_song_gb2312" w:cs="fang_song_gb2312"/>
          <w:kern w:val="0"/>
          <w:sz w:val="27"/>
          <w:szCs w:val="27"/>
          <w:u w:val="none"/>
        </w:rPr>
        <w:t>年度在决算中反映</w:t>
      </w:r>
      <w:r>
        <w:rPr>
          <w:rFonts w:hint="eastAsia" w:ascii="times_new_roman" w:hAnsi="times_new_roman" w:eastAsia="宋体" w:cs="times_new_roman"/>
          <w:kern w:val="0"/>
          <w:sz w:val="27"/>
          <w:szCs w:val="27"/>
          <w:u w:val="none"/>
          <w:lang w:val="en-US" w:eastAsia="zh-CN"/>
        </w:rPr>
        <w:t>9</w:t>
      </w:r>
      <w:r>
        <w:rPr>
          <w:rFonts w:ascii="fang_song_gb2312" w:hAnsi="fang_song_gb2312" w:eastAsia="fang_song_gb2312" w:cs="fang_song_gb2312"/>
          <w:kern w:val="0"/>
          <w:sz w:val="27"/>
          <w:szCs w:val="27"/>
          <w:u w:val="none"/>
        </w:rPr>
        <w:t>个一般公共预算项目，以及</w:t>
      </w:r>
      <w:r>
        <w:rPr>
          <w:rFonts w:hint="eastAsia" w:ascii="fang_song_gb2312" w:hAnsi="fang_song_gb2312" w:eastAsia="宋体" w:cs="fang_song_gb2312"/>
          <w:kern w:val="0"/>
          <w:sz w:val="27"/>
          <w:szCs w:val="27"/>
          <w:u w:val="none"/>
          <w:lang w:val="en-US" w:eastAsia="zh-CN"/>
        </w:rPr>
        <w:t>0</w:t>
      </w:r>
      <w:r>
        <w:rPr>
          <w:rFonts w:ascii="fang_song_gb2312" w:hAnsi="fang_song_gb2312" w:eastAsia="fang_song_gb2312" w:cs="fang_song_gb2312"/>
          <w:kern w:val="0"/>
          <w:sz w:val="27"/>
          <w:szCs w:val="27"/>
          <w:u w:val="none"/>
        </w:rPr>
        <w:t>个政府性基金项目，共</w:t>
      </w:r>
      <w:r>
        <w:rPr>
          <w:rFonts w:hint="eastAsia" w:ascii="times_new_roman" w:hAnsi="times_new_roman" w:eastAsia="宋体" w:cs="times_new_roman"/>
          <w:kern w:val="0"/>
          <w:sz w:val="27"/>
          <w:szCs w:val="27"/>
          <w:u w:val="none"/>
          <w:lang w:val="en-US" w:eastAsia="zh-CN"/>
        </w:rPr>
        <w:t>9</w:t>
      </w:r>
      <w:r>
        <w:rPr>
          <w:rFonts w:ascii="fang_song_gb2312" w:hAnsi="fang_song_gb2312" w:eastAsia="fang_song_gb2312" w:cs="fang_song_gb2312"/>
          <w:kern w:val="0"/>
          <w:sz w:val="27"/>
          <w:szCs w:val="27"/>
          <w:u w:val="none"/>
        </w:rPr>
        <w:t>个项目的绩效</w:t>
      </w:r>
      <w:r>
        <w:rPr>
          <w:rFonts w:ascii="fang_song_gb2312" w:hAnsi="fang_song_gb2312" w:eastAsia="fang_song_gb2312" w:cs="fang_song_gb2312"/>
          <w:kern w:val="0"/>
          <w:sz w:val="27"/>
          <w:szCs w:val="27"/>
        </w:rPr>
        <w:t>自评结果。</w:t>
      </w:r>
    </w:p>
    <w:p w14:paraId="70643303">
      <w:pPr>
        <w:widowControl/>
        <w:spacing w:before="240" w:after="240"/>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u w:val="none"/>
        </w:rPr>
        <w:t>1.</w:t>
      </w:r>
      <w:r>
        <w:rPr>
          <w:rFonts w:hint="eastAsia" w:ascii="times_new_roman" w:hAnsi="times_new_roman" w:eastAsia="times_new_roman" w:cs="times_new_roman"/>
          <w:kern w:val="0"/>
          <w:sz w:val="27"/>
          <w:szCs w:val="27"/>
          <w:u w:val="none"/>
        </w:rPr>
        <w:t>包头市口岸规划编制经费</w:t>
      </w:r>
      <w:r>
        <w:rPr>
          <w:rFonts w:ascii="fang_song_gb2312" w:hAnsi="fang_song_gb2312" w:eastAsia="fang_song_gb2312" w:cs="fang_song_gb2312"/>
          <w:kern w:val="0"/>
          <w:sz w:val="27"/>
          <w:szCs w:val="27"/>
          <w:u w:val="none"/>
        </w:rPr>
        <w:t>项目自评综述：根据年初设定的绩效目标，项目自评得分</w:t>
      </w:r>
      <w:r>
        <w:rPr>
          <w:rFonts w:hint="eastAsia" w:ascii="times_new_roman" w:hAnsi="times_new_roman" w:eastAsia="宋体" w:cs="times_new_roman"/>
          <w:kern w:val="0"/>
          <w:sz w:val="27"/>
          <w:szCs w:val="27"/>
          <w:u w:val="none"/>
          <w:lang w:val="en-US" w:eastAsia="zh-CN"/>
        </w:rPr>
        <w:t>100</w:t>
      </w:r>
      <w:r>
        <w:rPr>
          <w:rFonts w:ascii="fang_song_gb2312" w:hAnsi="fang_song_gb2312" w:eastAsia="fang_song_gb2312" w:cs="fang_song_gb2312"/>
          <w:kern w:val="0"/>
          <w:sz w:val="27"/>
          <w:szCs w:val="27"/>
          <w:u w:val="none"/>
        </w:rPr>
        <w:t>分。全年预算数为</w:t>
      </w:r>
      <w:r>
        <w:rPr>
          <w:rFonts w:hint="eastAsia" w:ascii="times_new_roman" w:hAnsi="times_new_roman" w:eastAsia="宋体" w:cs="times_new_roman"/>
          <w:kern w:val="0"/>
          <w:sz w:val="27"/>
          <w:szCs w:val="27"/>
          <w:u w:val="none"/>
          <w:lang w:val="en-US" w:eastAsia="zh-CN"/>
        </w:rPr>
        <w:t>21.00</w:t>
      </w:r>
      <w:r>
        <w:rPr>
          <w:rFonts w:ascii="fang_song_gb2312" w:hAnsi="fang_song_gb2312" w:eastAsia="fang_song_gb2312" w:cs="fang_song_gb2312"/>
          <w:kern w:val="0"/>
          <w:sz w:val="27"/>
          <w:szCs w:val="27"/>
          <w:u w:val="none"/>
        </w:rPr>
        <w:t>万元，执行数为</w:t>
      </w:r>
      <w:r>
        <w:rPr>
          <w:rFonts w:hint="eastAsia" w:ascii="times_new_roman" w:hAnsi="times_new_roman" w:eastAsia="宋体" w:cs="times_new_roman"/>
          <w:kern w:val="0"/>
          <w:sz w:val="27"/>
          <w:szCs w:val="27"/>
          <w:u w:val="none"/>
          <w:lang w:val="en-US" w:eastAsia="zh-CN"/>
        </w:rPr>
        <w:t>21.00</w:t>
      </w:r>
      <w:r>
        <w:rPr>
          <w:rFonts w:ascii="fang_song_gb2312" w:hAnsi="fang_song_gb2312" w:eastAsia="fang_song_gb2312" w:cs="fang_song_gb2312"/>
          <w:kern w:val="0"/>
          <w:sz w:val="27"/>
          <w:szCs w:val="27"/>
          <w:u w:val="none"/>
        </w:rPr>
        <w:t>万元，完成预算的</w:t>
      </w:r>
      <w:r>
        <w:rPr>
          <w:rFonts w:hint="eastAsia" w:ascii="times_new_roman" w:hAnsi="times_new_roman" w:eastAsia="宋体" w:cs="times_new_roman"/>
          <w:kern w:val="0"/>
          <w:sz w:val="27"/>
          <w:szCs w:val="27"/>
          <w:u w:val="none"/>
          <w:lang w:val="en-US" w:eastAsia="zh-CN"/>
        </w:rPr>
        <w:t>100.</w:t>
      </w:r>
      <w:r>
        <w:rPr>
          <w:rFonts w:hint="eastAsia" w:ascii="times_new_roman" w:hAnsi="times_new_roman" w:eastAsia="宋体" w:cs="times_new_roman"/>
          <w:kern w:val="0"/>
          <w:sz w:val="27"/>
          <w:szCs w:val="27"/>
          <w:highlight w:val="none"/>
          <w:u w:val="none"/>
          <w:lang w:val="en-US" w:eastAsia="zh-CN"/>
        </w:rPr>
        <w:t>00</w:t>
      </w:r>
      <w:r>
        <w:rPr>
          <w:rFonts w:ascii="fang_song_gb2312" w:hAnsi="fang_song_gb2312" w:eastAsia="fang_song_gb2312" w:cs="fang_song_gb2312"/>
          <w:kern w:val="0"/>
          <w:sz w:val="27"/>
          <w:szCs w:val="27"/>
          <w:highlight w:val="none"/>
          <w:u w:val="none"/>
        </w:rPr>
        <w:t>%。项目绩效目标完成情况：</w:t>
      </w:r>
      <w:r>
        <w:rPr>
          <w:rFonts w:hint="eastAsia" w:ascii="fang_song_gb2312" w:hAnsi="fang_song_gb2312" w:eastAsia="fang_song_gb2312" w:cs="fang_song_gb2312"/>
          <w:kern w:val="0"/>
          <w:sz w:val="27"/>
          <w:szCs w:val="27"/>
          <w:highlight w:val="none"/>
          <w:u w:val="none"/>
        </w:rPr>
        <w:t>完成支付包头市口岸发展规划编制经费</w:t>
      </w:r>
      <w:r>
        <w:rPr>
          <w:rFonts w:ascii="fang_song_gb2312" w:hAnsi="fang_song_gb2312" w:eastAsia="fang_song_gb2312" w:cs="fang_song_gb2312"/>
          <w:kern w:val="0"/>
          <w:sz w:val="27"/>
          <w:szCs w:val="27"/>
          <w:highlight w:val="none"/>
          <w:u w:val="none"/>
        </w:rPr>
        <w:t>。</w:t>
      </w:r>
      <w:r>
        <w:rPr>
          <w:rFonts w:hint="eastAsia" w:ascii="fang_song_gb2312" w:hAnsi="fang_song_gb2312" w:eastAsia="fang_song_gb2312" w:cs="fang_song_gb2312"/>
          <w:kern w:val="0"/>
          <w:sz w:val="27"/>
          <w:szCs w:val="27"/>
          <w:highlight w:val="none"/>
          <w:u w:val="none"/>
          <w:lang w:val="en-US" w:eastAsia="zh-CN"/>
        </w:rPr>
        <w:t>促进口岸经济发展</w:t>
      </w:r>
      <w:r>
        <w:rPr>
          <w:rFonts w:hint="eastAsia" w:ascii="fang_song_gb2312" w:hAnsi="fang_song_gb2312" w:eastAsia="宋体" w:cs="fang_song_gb2312"/>
          <w:kern w:val="0"/>
          <w:sz w:val="27"/>
          <w:szCs w:val="27"/>
          <w:highlight w:val="none"/>
          <w:u w:val="none"/>
          <w:lang w:val="en-US" w:eastAsia="zh-CN"/>
        </w:rPr>
        <w:t>，对全市口岸工作提供政策性指导依据</w:t>
      </w:r>
      <w:r>
        <w:rPr>
          <w:rFonts w:hint="eastAsia" w:ascii="fang_song_gb2312" w:hAnsi="fang_song_gb2312" w:cs="fang_song_gb2312"/>
          <w:kern w:val="0"/>
          <w:sz w:val="27"/>
          <w:szCs w:val="27"/>
          <w:highlight w:val="none"/>
          <w:u w:val="none"/>
          <w:lang w:val="en-US" w:eastAsia="zh-CN"/>
        </w:rPr>
        <w:t>。</w:t>
      </w:r>
      <w:r>
        <w:rPr>
          <w:rFonts w:ascii="fang_song_gb2312" w:hAnsi="fang_song_gb2312" w:eastAsia="fang_song_gb2312" w:cs="fang_song_gb2312"/>
          <w:kern w:val="0"/>
          <w:sz w:val="27"/>
          <w:szCs w:val="27"/>
          <w:highlight w:val="none"/>
          <w:u w:val="none"/>
        </w:rPr>
        <w:t>发</w:t>
      </w:r>
      <w:r>
        <w:rPr>
          <w:rFonts w:ascii="fang_song_gb2312" w:hAnsi="fang_song_gb2312" w:eastAsia="fang_song_gb2312" w:cs="fang_song_gb2312"/>
          <w:kern w:val="0"/>
          <w:sz w:val="27"/>
          <w:szCs w:val="27"/>
          <w:u w:val="none"/>
        </w:rPr>
        <w:t>现的主要问题及原因：</w:t>
      </w:r>
      <w:r>
        <w:rPr>
          <w:rFonts w:hint="eastAsia" w:ascii="fang_song_gb2312" w:hAnsi="fang_song_gb2312" w:eastAsia="宋体" w:cs="fang_song_gb2312"/>
          <w:kern w:val="0"/>
          <w:sz w:val="27"/>
          <w:szCs w:val="27"/>
          <w:u w:val="none"/>
          <w:lang w:eastAsia="zh-CN"/>
        </w:rPr>
        <w:t>无</w:t>
      </w:r>
      <w:r>
        <w:rPr>
          <w:rFonts w:ascii="fang_song_gb2312" w:hAnsi="fang_song_gb2312" w:eastAsia="fang_song_gb2312" w:cs="fang_song_gb2312"/>
          <w:kern w:val="0"/>
          <w:sz w:val="27"/>
          <w:szCs w:val="27"/>
          <w:u w:val="none"/>
        </w:rPr>
        <w:t>。下一步改进措施：</w:t>
      </w:r>
      <w:r>
        <w:rPr>
          <w:rFonts w:hint="eastAsia" w:ascii="fang_song_gb2312" w:hAnsi="fang_song_gb2312" w:eastAsia="宋体" w:cs="fang_song_gb2312"/>
          <w:kern w:val="0"/>
          <w:sz w:val="27"/>
          <w:szCs w:val="27"/>
          <w:u w:val="none"/>
          <w:lang w:eastAsia="zh-CN"/>
        </w:rPr>
        <w:t>无</w:t>
      </w:r>
      <w:r>
        <w:rPr>
          <w:rFonts w:ascii="fang_song_gb2312" w:hAnsi="fang_song_gb2312" w:eastAsia="fang_song_gb2312" w:cs="fang_song_gb2312"/>
          <w:kern w:val="0"/>
          <w:sz w:val="27"/>
          <w:szCs w:val="27"/>
          <w:u w:val="none"/>
        </w:rPr>
        <w:t>。</w:t>
      </w:r>
    </w:p>
    <w:p w14:paraId="72CB399A">
      <w:pPr>
        <w:widowControl/>
        <w:spacing w:before="240" w:after="240"/>
        <w:rPr>
          <w:rFonts w:ascii="fang_song_gb2312" w:hAnsi="fang_song_gb2312" w:eastAsia="fang_song_gb2312" w:cs="fang_song_gb2312"/>
          <w:kern w:val="0"/>
          <w:sz w:val="27"/>
          <w:szCs w:val="27"/>
          <w:u w:val="none"/>
        </w:rPr>
      </w:pPr>
      <w:r>
        <w:rPr>
          <w:rFonts w:ascii="fang_song_gb2312" w:hAnsi="fang_song_gb2312" w:eastAsia="fang_song_gb2312" w:cs="fang_song_gb2312"/>
          <w:kern w:val="0"/>
          <w:sz w:val="27"/>
          <w:szCs w:val="27"/>
          <w:u w:val="none"/>
        </w:rPr>
        <w:t>   </w:t>
      </w:r>
    </w:p>
    <w:tbl>
      <w:tblPr>
        <w:tblStyle w:val="22"/>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660"/>
        <w:gridCol w:w="660"/>
        <w:gridCol w:w="1005"/>
        <w:gridCol w:w="660"/>
        <w:gridCol w:w="660"/>
        <w:gridCol w:w="825"/>
        <w:gridCol w:w="975"/>
        <w:gridCol w:w="660"/>
        <w:gridCol w:w="660"/>
        <w:gridCol w:w="660"/>
        <w:gridCol w:w="1215"/>
      </w:tblGrid>
      <w:tr w14:paraId="15137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3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EFEACA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(2023年度）</w:t>
            </w:r>
          </w:p>
        </w:tc>
      </w:tr>
      <w:tr w14:paraId="2B36D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711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9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024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包头市口岸规划编制经费</w:t>
            </w:r>
          </w:p>
        </w:tc>
      </w:tr>
      <w:tr w14:paraId="70FF3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1FE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9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6AA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包头市商务局（部门）</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CF8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D63F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包头市口岸服务中心</w:t>
            </w:r>
          </w:p>
        </w:tc>
      </w:tr>
      <w:tr w14:paraId="0E1BC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5E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6E10">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8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73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23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2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34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6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1C59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B1996">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5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7F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61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90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6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1E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C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16B5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53973">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52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90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63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9E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B1B3">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BC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2EC6">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7A25A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5B514">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D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ED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21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41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2432">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5D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4493">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21738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CD730">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7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36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8E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D7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3318">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07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5B25">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455D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4C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251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C76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B4E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1EC60">
            <w:pPr>
              <w:jc w:val="center"/>
              <w:rPr>
                <w:rFonts w:hint="eastAsia" w:ascii="宋体" w:hAnsi="宋体" w:eastAsia="宋体" w:cs="宋体"/>
                <w:i w:val="0"/>
                <w:iCs w:val="0"/>
                <w:color w:val="000000"/>
                <w:sz w:val="18"/>
                <w:szCs w:val="18"/>
                <w:u w:val="none"/>
              </w:rPr>
            </w:pP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76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编制完成包头市十四五口岸发展规划，对全市口岸工作提供政策性指导依据。</w:t>
            </w:r>
          </w:p>
        </w:tc>
        <w:tc>
          <w:tcPr>
            <w:tcW w:w="4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9DF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完成支付包头市口岸发展规划编制经费</w:t>
            </w:r>
          </w:p>
        </w:tc>
      </w:tr>
      <w:tr w14:paraId="35E18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A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C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C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1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F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3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8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D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4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9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B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6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8AB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0" w:type="dxa"/>
            <w:vMerge w:val="restart"/>
            <w:tcBorders>
              <w:top w:val="single" w:color="000000" w:sz="4" w:space="0"/>
              <w:left w:val="single" w:color="000000" w:sz="4" w:space="0"/>
              <w:bottom w:val="nil"/>
              <w:right w:val="single" w:color="000000" w:sz="4" w:space="0"/>
            </w:tcBorders>
            <w:shd w:val="clear" w:color="auto" w:fill="auto"/>
            <w:vAlign w:val="center"/>
          </w:tcPr>
          <w:p w14:paraId="04337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660" w:type="dxa"/>
            <w:vMerge w:val="restart"/>
            <w:tcBorders>
              <w:top w:val="single" w:color="000000" w:sz="4" w:space="0"/>
              <w:left w:val="single" w:color="000000" w:sz="4" w:space="0"/>
              <w:bottom w:val="nil"/>
              <w:right w:val="single" w:color="000000" w:sz="4" w:space="0"/>
            </w:tcBorders>
            <w:shd w:val="clear" w:color="auto" w:fill="auto"/>
            <w:vAlign w:val="center"/>
          </w:tcPr>
          <w:p w14:paraId="2EC11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2BB3A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58A91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编制规划数量</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79C81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0B67C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825" w:type="dxa"/>
            <w:tcBorders>
              <w:top w:val="single" w:color="000000" w:sz="4" w:space="0"/>
              <w:left w:val="single" w:color="000000" w:sz="4" w:space="0"/>
              <w:bottom w:val="nil"/>
              <w:right w:val="single" w:color="000000" w:sz="4" w:space="0"/>
            </w:tcBorders>
            <w:shd w:val="clear" w:color="auto" w:fill="auto"/>
            <w:vAlign w:val="center"/>
          </w:tcPr>
          <w:p w14:paraId="16F51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5" w:type="dxa"/>
            <w:tcBorders>
              <w:top w:val="single" w:color="000000" w:sz="4" w:space="0"/>
              <w:left w:val="single" w:color="000000" w:sz="4" w:space="0"/>
              <w:bottom w:val="nil"/>
              <w:right w:val="single" w:color="000000" w:sz="4" w:space="0"/>
            </w:tcBorders>
            <w:shd w:val="clear" w:color="auto" w:fill="auto"/>
            <w:vAlign w:val="center"/>
          </w:tcPr>
          <w:p w14:paraId="28488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11E2F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44751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2AB9A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15" w:type="dxa"/>
            <w:tcBorders>
              <w:top w:val="single" w:color="000000" w:sz="4" w:space="0"/>
              <w:left w:val="single" w:color="000000" w:sz="4" w:space="0"/>
              <w:bottom w:val="nil"/>
              <w:right w:val="single" w:color="000000" w:sz="4" w:space="0"/>
            </w:tcBorders>
            <w:shd w:val="clear" w:color="auto" w:fill="auto"/>
            <w:vAlign w:val="center"/>
          </w:tcPr>
          <w:p w14:paraId="6A2619AE">
            <w:pPr>
              <w:jc w:val="center"/>
              <w:rPr>
                <w:rFonts w:hint="eastAsia" w:ascii="宋体" w:hAnsi="宋体" w:eastAsia="宋体" w:cs="宋体"/>
                <w:i w:val="0"/>
                <w:iCs w:val="0"/>
                <w:color w:val="000000"/>
                <w:sz w:val="18"/>
                <w:szCs w:val="18"/>
                <w:u w:val="none"/>
              </w:rPr>
            </w:pPr>
          </w:p>
        </w:tc>
      </w:tr>
      <w:tr w14:paraId="3C4C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14:paraId="07EED9B4">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14:paraId="4172C663">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nil"/>
              <w:right w:val="single" w:color="000000" w:sz="4" w:space="0"/>
            </w:tcBorders>
            <w:shd w:val="clear" w:color="auto" w:fill="auto"/>
            <w:vAlign w:val="center"/>
          </w:tcPr>
          <w:p w14:paraId="7F61F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51C6E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符合国家十四五口岸规划发展</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627DA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291BAAAC">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nil"/>
              <w:right w:val="single" w:color="000000" w:sz="4" w:space="0"/>
            </w:tcBorders>
            <w:shd w:val="clear" w:color="auto" w:fill="auto"/>
            <w:vAlign w:val="center"/>
          </w:tcPr>
          <w:p w14:paraId="5C3AA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w:t>
            </w:r>
          </w:p>
        </w:tc>
        <w:tc>
          <w:tcPr>
            <w:tcW w:w="975" w:type="dxa"/>
            <w:tcBorders>
              <w:top w:val="single" w:color="000000" w:sz="4" w:space="0"/>
              <w:left w:val="single" w:color="000000" w:sz="4" w:space="0"/>
              <w:bottom w:val="nil"/>
              <w:right w:val="single" w:color="000000" w:sz="4" w:space="0"/>
            </w:tcBorders>
            <w:shd w:val="clear" w:color="auto" w:fill="auto"/>
            <w:vAlign w:val="center"/>
          </w:tcPr>
          <w:p w14:paraId="17ADF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2641B12D">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nil"/>
              <w:right w:val="single" w:color="000000" w:sz="4" w:space="0"/>
            </w:tcBorders>
            <w:shd w:val="clear" w:color="auto" w:fill="auto"/>
            <w:vAlign w:val="center"/>
          </w:tcPr>
          <w:p w14:paraId="72315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0787C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15" w:type="dxa"/>
            <w:tcBorders>
              <w:top w:val="single" w:color="000000" w:sz="4" w:space="0"/>
              <w:left w:val="single" w:color="000000" w:sz="4" w:space="0"/>
              <w:bottom w:val="nil"/>
              <w:right w:val="single" w:color="000000" w:sz="4" w:space="0"/>
            </w:tcBorders>
            <w:shd w:val="clear" w:color="auto" w:fill="auto"/>
            <w:vAlign w:val="center"/>
          </w:tcPr>
          <w:p w14:paraId="5A70C2FF">
            <w:pPr>
              <w:jc w:val="center"/>
              <w:rPr>
                <w:rFonts w:hint="eastAsia" w:ascii="宋体" w:hAnsi="宋体" w:eastAsia="宋体" w:cs="宋体"/>
                <w:i w:val="0"/>
                <w:iCs w:val="0"/>
                <w:color w:val="000000"/>
                <w:sz w:val="18"/>
                <w:szCs w:val="18"/>
                <w:u w:val="none"/>
              </w:rPr>
            </w:pPr>
          </w:p>
        </w:tc>
      </w:tr>
      <w:tr w14:paraId="2766E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14:paraId="6A14AEB7">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14:paraId="09E21DBC">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nil"/>
              <w:right w:val="single" w:color="000000" w:sz="4" w:space="0"/>
            </w:tcBorders>
            <w:shd w:val="clear" w:color="auto" w:fill="auto"/>
            <w:vAlign w:val="center"/>
          </w:tcPr>
          <w:p w14:paraId="5FA5F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1B10F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编制时效</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1AEFE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0D2B0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825" w:type="dxa"/>
            <w:tcBorders>
              <w:top w:val="single" w:color="000000" w:sz="4" w:space="0"/>
              <w:left w:val="single" w:color="000000" w:sz="4" w:space="0"/>
              <w:bottom w:val="nil"/>
              <w:right w:val="single" w:color="000000" w:sz="4" w:space="0"/>
            </w:tcBorders>
            <w:shd w:val="clear" w:color="auto" w:fill="auto"/>
            <w:vAlign w:val="center"/>
          </w:tcPr>
          <w:p w14:paraId="13AC7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w:t>
            </w:r>
          </w:p>
        </w:tc>
        <w:tc>
          <w:tcPr>
            <w:tcW w:w="975" w:type="dxa"/>
            <w:tcBorders>
              <w:top w:val="single" w:color="000000" w:sz="4" w:space="0"/>
              <w:left w:val="single" w:color="000000" w:sz="4" w:space="0"/>
              <w:bottom w:val="nil"/>
              <w:right w:val="single" w:color="000000" w:sz="4" w:space="0"/>
            </w:tcBorders>
            <w:shd w:val="clear" w:color="auto" w:fill="auto"/>
            <w:vAlign w:val="center"/>
          </w:tcPr>
          <w:p w14:paraId="05443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6F7CE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73AB1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57E66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15" w:type="dxa"/>
            <w:tcBorders>
              <w:top w:val="single" w:color="000000" w:sz="4" w:space="0"/>
              <w:left w:val="single" w:color="000000" w:sz="4" w:space="0"/>
              <w:bottom w:val="nil"/>
              <w:right w:val="single" w:color="000000" w:sz="4" w:space="0"/>
            </w:tcBorders>
            <w:shd w:val="clear" w:color="auto" w:fill="auto"/>
            <w:vAlign w:val="center"/>
          </w:tcPr>
          <w:p w14:paraId="3E2D879C">
            <w:pPr>
              <w:jc w:val="center"/>
              <w:rPr>
                <w:rFonts w:hint="eastAsia" w:ascii="宋体" w:hAnsi="宋体" w:eastAsia="宋体" w:cs="宋体"/>
                <w:i w:val="0"/>
                <w:iCs w:val="0"/>
                <w:color w:val="000000"/>
                <w:sz w:val="18"/>
                <w:szCs w:val="18"/>
                <w:u w:val="none"/>
              </w:rPr>
            </w:pPr>
          </w:p>
        </w:tc>
      </w:tr>
      <w:tr w14:paraId="2C33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14:paraId="2711479C">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14:paraId="2FA1AAA5">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nil"/>
              <w:right w:val="single" w:color="000000" w:sz="4" w:space="0"/>
            </w:tcBorders>
            <w:shd w:val="clear" w:color="auto" w:fill="auto"/>
            <w:vAlign w:val="center"/>
          </w:tcPr>
          <w:p w14:paraId="6D005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798CB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编制费用</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51793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481B2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825" w:type="dxa"/>
            <w:tcBorders>
              <w:top w:val="single" w:color="000000" w:sz="4" w:space="0"/>
              <w:left w:val="single" w:color="000000" w:sz="4" w:space="0"/>
              <w:bottom w:val="nil"/>
              <w:right w:val="single" w:color="000000" w:sz="4" w:space="0"/>
            </w:tcBorders>
            <w:shd w:val="clear" w:color="auto" w:fill="auto"/>
            <w:vAlign w:val="center"/>
          </w:tcPr>
          <w:p w14:paraId="31A5F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75" w:type="dxa"/>
            <w:tcBorders>
              <w:top w:val="single" w:color="000000" w:sz="4" w:space="0"/>
              <w:left w:val="single" w:color="000000" w:sz="4" w:space="0"/>
              <w:bottom w:val="nil"/>
              <w:right w:val="single" w:color="000000" w:sz="4" w:space="0"/>
            </w:tcBorders>
            <w:shd w:val="clear" w:color="auto" w:fill="auto"/>
            <w:vAlign w:val="center"/>
          </w:tcPr>
          <w:p w14:paraId="19301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5C14A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60430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65D48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15" w:type="dxa"/>
            <w:tcBorders>
              <w:top w:val="single" w:color="000000" w:sz="4" w:space="0"/>
              <w:left w:val="single" w:color="000000" w:sz="4" w:space="0"/>
              <w:bottom w:val="nil"/>
              <w:right w:val="single" w:color="000000" w:sz="4" w:space="0"/>
            </w:tcBorders>
            <w:shd w:val="clear" w:color="auto" w:fill="auto"/>
            <w:vAlign w:val="center"/>
          </w:tcPr>
          <w:p w14:paraId="1E8253D9">
            <w:pPr>
              <w:jc w:val="center"/>
              <w:rPr>
                <w:rFonts w:hint="eastAsia" w:ascii="宋体" w:hAnsi="宋体" w:eastAsia="宋体" w:cs="宋体"/>
                <w:i w:val="0"/>
                <w:iCs w:val="0"/>
                <w:color w:val="000000"/>
                <w:sz w:val="18"/>
                <w:szCs w:val="18"/>
                <w:u w:val="none"/>
              </w:rPr>
            </w:pPr>
          </w:p>
        </w:tc>
      </w:tr>
      <w:tr w14:paraId="50FB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14:paraId="253852E8">
            <w:pPr>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nil"/>
              <w:right w:val="single" w:color="000000" w:sz="4" w:space="0"/>
            </w:tcBorders>
            <w:shd w:val="clear" w:color="auto" w:fill="auto"/>
            <w:vAlign w:val="center"/>
          </w:tcPr>
          <w:p w14:paraId="38FDE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345EE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6E720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促进口岸经济发展</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7F68C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2D29A709">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nil"/>
              <w:right w:val="single" w:color="000000" w:sz="4" w:space="0"/>
            </w:tcBorders>
            <w:shd w:val="clear" w:color="auto" w:fill="auto"/>
            <w:vAlign w:val="center"/>
          </w:tcPr>
          <w:p w14:paraId="20943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w:t>
            </w:r>
          </w:p>
        </w:tc>
        <w:tc>
          <w:tcPr>
            <w:tcW w:w="975" w:type="dxa"/>
            <w:tcBorders>
              <w:top w:val="single" w:color="000000" w:sz="4" w:space="0"/>
              <w:left w:val="single" w:color="000000" w:sz="4" w:space="0"/>
              <w:bottom w:val="nil"/>
              <w:right w:val="single" w:color="000000" w:sz="4" w:space="0"/>
            </w:tcBorders>
            <w:shd w:val="clear" w:color="auto" w:fill="auto"/>
            <w:vAlign w:val="center"/>
          </w:tcPr>
          <w:p w14:paraId="0DAA9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054CE1EC">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nil"/>
              <w:right w:val="single" w:color="000000" w:sz="4" w:space="0"/>
            </w:tcBorders>
            <w:shd w:val="clear" w:color="auto" w:fill="auto"/>
            <w:vAlign w:val="center"/>
          </w:tcPr>
          <w:p w14:paraId="34CFD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0144A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15" w:type="dxa"/>
            <w:tcBorders>
              <w:top w:val="single" w:color="000000" w:sz="4" w:space="0"/>
              <w:left w:val="single" w:color="000000" w:sz="4" w:space="0"/>
              <w:bottom w:val="nil"/>
              <w:right w:val="single" w:color="000000" w:sz="4" w:space="0"/>
            </w:tcBorders>
            <w:shd w:val="clear" w:color="auto" w:fill="auto"/>
            <w:vAlign w:val="center"/>
          </w:tcPr>
          <w:p w14:paraId="6E0B3B74">
            <w:pPr>
              <w:jc w:val="center"/>
              <w:rPr>
                <w:rFonts w:hint="eastAsia" w:ascii="宋体" w:hAnsi="宋体" w:eastAsia="宋体" w:cs="宋体"/>
                <w:i w:val="0"/>
                <w:iCs w:val="0"/>
                <w:color w:val="000000"/>
                <w:sz w:val="18"/>
                <w:szCs w:val="18"/>
                <w:u w:val="none"/>
              </w:rPr>
            </w:pPr>
          </w:p>
        </w:tc>
      </w:tr>
      <w:tr w14:paraId="3F5D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14:paraId="2C1B7039">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14:paraId="0F54816E">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nil"/>
              <w:right w:val="single" w:color="000000" w:sz="4" w:space="0"/>
            </w:tcBorders>
            <w:shd w:val="clear" w:color="auto" w:fill="auto"/>
            <w:vAlign w:val="center"/>
          </w:tcPr>
          <w:p w14:paraId="75049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756E2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对全市口岸工作提供政策性指导依据</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2C47E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4B4ED73F">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nil"/>
              <w:right w:val="single" w:color="000000" w:sz="4" w:space="0"/>
            </w:tcBorders>
            <w:shd w:val="clear" w:color="auto" w:fill="auto"/>
            <w:vAlign w:val="center"/>
          </w:tcPr>
          <w:p w14:paraId="78723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975" w:type="dxa"/>
            <w:tcBorders>
              <w:top w:val="single" w:color="000000" w:sz="4" w:space="0"/>
              <w:left w:val="single" w:color="000000" w:sz="4" w:space="0"/>
              <w:bottom w:val="nil"/>
              <w:right w:val="single" w:color="000000" w:sz="4" w:space="0"/>
            </w:tcBorders>
            <w:shd w:val="clear" w:color="auto" w:fill="auto"/>
            <w:vAlign w:val="center"/>
          </w:tcPr>
          <w:p w14:paraId="40644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234B3688">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nil"/>
              <w:right w:val="single" w:color="000000" w:sz="4" w:space="0"/>
            </w:tcBorders>
            <w:shd w:val="clear" w:color="auto" w:fill="auto"/>
            <w:vAlign w:val="center"/>
          </w:tcPr>
          <w:p w14:paraId="56523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09679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15" w:type="dxa"/>
            <w:tcBorders>
              <w:top w:val="single" w:color="000000" w:sz="4" w:space="0"/>
              <w:left w:val="single" w:color="000000" w:sz="4" w:space="0"/>
              <w:bottom w:val="nil"/>
              <w:right w:val="single" w:color="000000" w:sz="4" w:space="0"/>
            </w:tcBorders>
            <w:shd w:val="clear" w:color="auto" w:fill="auto"/>
            <w:vAlign w:val="center"/>
          </w:tcPr>
          <w:p w14:paraId="03F7A90A">
            <w:pPr>
              <w:jc w:val="center"/>
              <w:rPr>
                <w:rFonts w:hint="eastAsia" w:ascii="宋体" w:hAnsi="宋体" w:eastAsia="宋体" w:cs="宋体"/>
                <w:i w:val="0"/>
                <w:iCs w:val="0"/>
                <w:color w:val="000000"/>
                <w:sz w:val="18"/>
                <w:szCs w:val="18"/>
                <w:u w:val="none"/>
              </w:rPr>
            </w:pPr>
          </w:p>
        </w:tc>
      </w:tr>
      <w:tr w14:paraId="30992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14:paraId="73CAF6B3">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14:paraId="11F7C1FE">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nil"/>
              <w:right w:val="single" w:color="000000" w:sz="4" w:space="0"/>
            </w:tcBorders>
            <w:shd w:val="clear" w:color="auto" w:fill="auto"/>
            <w:vAlign w:val="center"/>
          </w:tcPr>
          <w:p w14:paraId="4D18E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11C60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促进口岸长期发展</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2BFF0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5D4AC0CB">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nil"/>
              <w:right w:val="single" w:color="000000" w:sz="4" w:space="0"/>
            </w:tcBorders>
            <w:shd w:val="clear" w:color="auto" w:fill="auto"/>
            <w:vAlign w:val="center"/>
          </w:tcPr>
          <w:p w14:paraId="1BDE0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w:t>
            </w:r>
          </w:p>
        </w:tc>
        <w:tc>
          <w:tcPr>
            <w:tcW w:w="975" w:type="dxa"/>
            <w:tcBorders>
              <w:top w:val="single" w:color="000000" w:sz="4" w:space="0"/>
              <w:left w:val="single" w:color="000000" w:sz="4" w:space="0"/>
              <w:bottom w:val="nil"/>
              <w:right w:val="single" w:color="000000" w:sz="4" w:space="0"/>
            </w:tcBorders>
            <w:shd w:val="clear" w:color="auto" w:fill="auto"/>
            <w:vAlign w:val="center"/>
          </w:tcPr>
          <w:p w14:paraId="26737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4AF09CC1">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nil"/>
              <w:right w:val="single" w:color="000000" w:sz="4" w:space="0"/>
            </w:tcBorders>
            <w:shd w:val="clear" w:color="auto" w:fill="auto"/>
            <w:vAlign w:val="center"/>
          </w:tcPr>
          <w:p w14:paraId="1AD65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3E0DA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15" w:type="dxa"/>
            <w:tcBorders>
              <w:top w:val="single" w:color="000000" w:sz="4" w:space="0"/>
              <w:left w:val="single" w:color="000000" w:sz="4" w:space="0"/>
              <w:bottom w:val="nil"/>
              <w:right w:val="single" w:color="000000" w:sz="4" w:space="0"/>
            </w:tcBorders>
            <w:shd w:val="clear" w:color="auto" w:fill="auto"/>
            <w:vAlign w:val="center"/>
          </w:tcPr>
          <w:p w14:paraId="6117B6EB">
            <w:pPr>
              <w:jc w:val="center"/>
              <w:rPr>
                <w:rFonts w:hint="eastAsia" w:ascii="宋体" w:hAnsi="宋体" w:eastAsia="宋体" w:cs="宋体"/>
                <w:i w:val="0"/>
                <w:iCs w:val="0"/>
                <w:color w:val="000000"/>
                <w:sz w:val="18"/>
                <w:szCs w:val="18"/>
                <w:u w:val="none"/>
              </w:rPr>
            </w:pPr>
          </w:p>
        </w:tc>
      </w:tr>
      <w:tr w14:paraId="0D902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14:paraId="62EA9119">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nil"/>
              <w:right w:val="single" w:color="000000" w:sz="4" w:space="0"/>
            </w:tcBorders>
            <w:shd w:val="clear" w:color="auto" w:fill="auto"/>
            <w:vAlign w:val="center"/>
          </w:tcPr>
          <w:p w14:paraId="36932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21BC7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521F3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相关部门满意度</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325C0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785F6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825" w:type="dxa"/>
            <w:tcBorders>
              <w:top w:val="single" w:color="000000" w:sz="4" w:space="0"/>
              <w:left w:val="single" w:color="000000" w:sz="4" w:space="0"/>
              <w:bottom w:val="nil"/>
              <w:right w:val="single" w:color="000000" w:sz="4" w:space="0"/>
            </w:tcBorders>
            <w:shd w:val="clear" w:color="auto" w:fill="auto"/>
            <w:vAlign w:val="center"/>
          </w:tcPr>
          <w:p w14:paraId="5F8D9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75" w:type="dxa"/>
            <w:tcBorders>
              <w:top w:val="single" w:color="000000" w:sz="4" w:space="0"/>
              <w:left w:val="single" w:color="000000" w:sz="4" w:space="0"/>
              <w:bottom w:val="nil"/>
              <w:right w:val="single" w:color="000000" w:sz="4" w:space="0"/>
            </w:tcBorders>
            <w:shd w:val="clear" w:color="auto" w:fill="auto"/>
            <w:vAlign w:val="center"/>
          </w:tcPr>
          <w:p w14:paraId="1B34A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1C470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6B013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73F89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15" w:type="dxa"/>
            <w:tcBorders>
              <w:top w:val="single" w:color="000000" w:sz="4" w:space="0"/>
              <w:left w:val="single" w:color="000000" w:sz="4" w:space="0"/>
              <w:bottom w:val="nil"/>
              <w:right w:val="single" w:color="000000" w:sz="4" w:space="0"/>
            </w:tcBorders>
            <w:shd w:val="clear" w:color="auto" w:fill="auto"/>
            <w:vAlign w:val="center"/>
          </w:tcPr>
          <w:p w14:paraId="5F170B52">
            <w:pPr>
              <w:jc w:val="center"/>
              <w:rPr>
                <w:rFonts w:hint="eastAsia" w:ascii="宋体" w:hAnsi="宋体" w:eastAsia="宋体" w:cs="宋体"/>
                <w:i w:val="0"/>
                <w:iCs w:val="0"/>
                <w:color w:val="000000"/>
                <w:sz w:val="18"/>
                <w:szCs w:val="18"/>
                <w:u w:val="none"/>
              </w:rPr>
            </w:pPr>
          </w:p>
        </w:tc>
      </w:tr>
      <w:tr w14:paraId="06C8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7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8D0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A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6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0835">
            <w:pPr>
              <w:jc w:val="center"/>
              <w:rPr>
                <w:rFonts w:hint="eastAsia" w:ascii="宋体" w:hAnsi="宋体" w:eastAsia="宋体" w:cs="宋体"/>
                <w:i w:val="0"/>
                <w:iCs w:val="0"/>
                <w:color w:val="000000"/>
                <w:sz w:val="18"/>
                <w:szCs w:val="18"/>
                <w:u w:val="none"/>
              </w:rPr>
            </w:pPr>
          </w:p>
        </w:tc>
      </w:tr>
    </w:tbl>
    <w:p w14:paraId="76070C69">
      <w:pPr>
        <w:widowControl/>
        <w:spacing w:before="240" w:after="240"/>
        <w:ind w:firstLine="540" w:firstLineChars="200"/>
        <w:rPr>
          <w:rFonts w:hint="eastAsia" w:ascii="fang_song_gb2312" w:hAnsi="fang_song_gb2312" w:eastAsia="宋体" w:cs="fang_song_gb2312"/>
          <w:kern w:val="0"/>
          <w:sz w:val="27"/>
          <w:szCs w:val="27"/>
          <w:lang w:val="en-US" w:eastAsia="zh-CN"/>
        </w:rPr>
      </w:pPr>
      <w:r>
        <w:rPr>
          <w:rFonts w:ascii="fang_song_gb2312" w:hAnsi="fang_song_gb2312" w:eastAsia="fang_song_gb2312" w:cs="fang_song_gb2312"/>
          <w:kern w:val="0"/>
          <w:sz w:val="27"/>
          <w:szCs w:val="27"/>
          <w:u w:val="none"/>
        </w:rPr>
        <w:t xml:space="preserve"> </w:t>
      </w:r>
      <w:r>
        <w:rPr>
          <w:rFonts w:ascii="times_new_roman" w:hAnsi="times_new_roman" w:eastAsia="times_new_roman" w:cs="times_new_roman"/>
          <w:kern w:val="0"/>
          <w:sz w:val="27"/>
          <w:szCs w:val="27"/>
          <w:u w:val="none"/>
        </w:rPr>
        <w:t>2.</w:t>
      </w:r>
      <w:r>
        <w:rPr>
          <w:rFonts w:hint="eastAsia" w:ascii="times_new_roman" w:hAnsi="times_new_roman" w:eastAsia="times_new_roman" w:cs="times_new_roman"/>
          <w:kern w:val="0"/>
          <w:sz w:val="27"/>
          <w:szCs w:val="27"/>
          <w:u w:val="none"/>
        </w:rPr>
        <w:t>满都拉口岸通勤车费</w:t>
      </w:r>
      <w:r>
        <w:rPr>
          <w:rFonts w:ascii="fang_song_gb2312" w:hAnsi="fang_song_gb2312" w:eastAsia="fang_song_gb2312" w:cs="fang_song_gb2312"/>
          <w:kern w:val="0"/>
          <w:sz w:val="27"/>
          <w:szCs w:val="27"/>
          <w:u w:val="none"/>
        </w:rPr>
        <w:t>项目自评综述：根据年初设定的绩效目标，项目自评得分</w:t>
      </w:r>
      <w:r>
        <w:rPr>
          <w:rFonts w:hint="eastAsia" w:ascii="times_new_roman" w:hAnsi="times_new_roman" w:eastAsia="宋体" w:cs="times_new_roman"/>
          <w:kern w:val="0"/>
          <w:sz w:val="27"/>
          <w:szCs w:val="27"/>
          <w:u w:val="none"/>
          <w:lang w:val="en-US" w:eastAsia="zh-CN"/>
        </w:rPr>
        <w:t>93.00</w:t>
      </w:r>
      <w:r>
        <w:rPr>
          <w:rFonts w:ascii="fang_song_gb2312" w:hAnsi="fang_song_gb2312" w:eastAsia="fang_song_gb2312" w:cs="fang_song_gb2312"/>
          <w:kern w:val="0"/>
          <w:sz w:val="27"/>
          <w:szCs w:val="27"/>
          <w:u w:val="none"/>
        </w:rPr>
        <w:t>分。全年预算数为</w:t>
      </w:r>
      <w:r>
        <w:rPr>
          <w:rFonts w:hint="eastAsia" w:ascii="times_new_roman" w:hAnsi="times_new_roman" w:eastAsia="宋体" w:cs="times_new_roman"/>
          <w:kern w:val="0"/>
          <w:sz w:val="27"/>
          <w:szCs w:val="27"/>
          <w:u w:val="none"/>
          <w:lang w:val="en-US" w:eastAsia="zh-CN"/>
        </w:rPr>
        <w:t>55.00</w:t>
      </w:r>
      <w:r>
        <w:rPr>
          <w:rFonts w:ascii="fang_song_gb2312" w:hAnsi="fang_song_gb2312" w:eastAsia="fang_song_gb2312" w:cs="fang_song_gb2312"/>
          <w:kern w:val="0"/>
          <w:sz w:val="27"/>
          <w:szCs w:val="27"/>
          <w:u w:val="none"/>
        </w:rPr>
        <w:t>万元，执行数为</w:t>
      </w:r>
      <w:r>
        <w:rPr>
          <w:rFonts w:hint="eastAsia" w:ascii="times_new_roman" w:hAnsi="times_new_roman" w:eastAsia="宋体" w:cs="times_new_roman"/>
          <w:kern w:val="0"/>
          <w:sz w:val="27"/>
          <w:szCs w:val="27"/>
          <w:u w:val="none"/>
          <w:lang w:val="en-US" w:eastAsia="zh-CN"/>
        </w:rPr>
        <w:t>30.23</w:t>
      </w:r>
      <w:r>
        <w:rPr>
          <w:rFonts w:ascii="fang_song_gb2312" w:hAnsi="fang_song_gb2312" w:eastAsia="fang_song_gb2312" w:cs="fang_song_gb2312"/>
          <w:kern w:val="0"/>
          <w:sz w:val="27"/>
          <w:szCs w:val="27"/>
          <w:u w:val="none"/>
        </w:rPr>
        <w:t>万元，完成预算的</w:t>
      </w:r>
      <w:r>
        <w:rPr>
          <w:rFonts w:hint="eastAsia" w:ascii="times_new_roman" w:hAnsi="times_new_roman" w:eastAsia="宋体" w:cs="times_new_roman"/>
          <w:kern w:val="0"/>
          <w:sz w:val="27"/>
          <w:szCs w:val="27"/>
          <w:u w:val="none"/>
          <w:lang w:val="en-US" w:eastAsia="zh-CN"/>
        </w:rPr>
        <w:t>54.96</w:t>
      </w:r>
      <w:r>
        <w:rPr>
          <w:rFonts w:ascii="fang_song_gb2312" w:hAnsi="fang_song_gb2312" w:eastAsia="fang_song_gb2312" w:cs="fang_song_gb2312"/>
          <w:kern w:val="0"/>
          <w:sz w:val="27"/>
          <w:szCs w:val="27"/>
          <w:u w:val="none"/>
        </w:rPr>
        <w:t>%</w:t>
      </w:r>
      <w:r>
        <w:rPr>
          <w:rFonts w:ascii="fang_song_gb2312" w:hAnsi="fang_song_gb2312" w:eastAsia="fang_song_gb2312" w:cs="fang_song_gb2312"/>
          <w:kern w:val="0"/>
          <w:sz w:val="27"/>
          <w:szCs w:val="27"/>
          <w:highlight w:val="none"/>
          <w:u w:val="none"/>
        </w:rPr>
        <w:t>。项目绩效目标完成情况：</w:t>
      </w:r>
      <w:r>
        <w:rPr>
          <w:rFonts w:hint="eastAsia" w:ascii="fang_song_gb2312" w:hAnsi="fang_song_gb2312" w:eastAsia="fang_song_gb2312" w:cs="fang_song_gb2312"/>
          <w:kern w:val="0"/>
          <w:sz w:val="27"/>
          <w:szCs w:val="27"/>
          <w:highlight w:val="none"/>
          <w:u w:val="none"/>
        </w:rPr>
        <w:t>支付满都拉口岸通勤车费用，保障</w:t>
      </w:r>
      <w:r>
        <w:rPr>
          <w:rFonts w:hint="eastAsia" w:ascii="fang_song_gb2312" w:hAnsi="fang_song_gb2312" w:eastAsia="fang_song_gb2312" w:cs="fang_song_gb2312"/>
          <w:kern w:val="0"/>
          <w:sz w:val="27"/>
          <w:szCs w:val="27"/>
          <w:highlight w:val="none"/>
        </w:rPr>
        <w:t>联检单位用车需求</w:t>
      </w:r>
      <w:r>
        <w:rPr>
          <w:rFonts w:ascii="fang_song_gb2312" w:hAnsi="fang_song_gb2312" w:eastAsia="fang_song_gb2312" w:cs="fang_song_gb2312"/>
          <w:kern w:val="0"/>
          <w:sz w:val="27"/>
          <w:szCs w:val="27"/>
          <w:highlight w:val="none"/>
        </w:rPr>
        <w:t>。</w:t>
      </w:r>
      <w:r>
        <w:rPr>
          <w:rFonts w:hint="eastAsia" w:ascii="fang_song_gb2312" w:hAnsi="fang_song_gb2312" w:eastAsia="宋体" w:cs="fang_song_gb2312"/>
          <w:kern w:val="0"/>
          <w:sz w:val="27"/>
          <w:szCs w:val="27"/>
          <w:highlight w:val="none"/>
          <w:lang w:val="en-US" w:eastAsia="zh-CN"/>
        </w:rPr>
        <w:t>全年通勤150次，通勤车故障率较低，通勤服务相关费严格按照预算执行，确保口岸通关服务正常运行。</w:t>
      </w:r>
      <w:r>
        <w:rPr>
          <w:rFonts w:ascii="fang_song_gb2312" w:hAnsi="fang_song_gb2312" w:eastAsia="fang_song_gb2312" w:cs="fang_song_gb2312"/>
          <w:kern w:val="0"/>
          <w:sz w:val="27"/>
          <w:szCs w:val="27"/>
          <w:highlight w:val="none"/>
        </w:rPr>
        <w:t>发现的主要问题及原因：</w:t>
      </w:r>
      <w:r>
        <w:rPr>
          <w:rFonts w:ascii="fang_song_gb2312" w:hAnsi="fang_song_gb2312" w:eastAsia="fang_song_gb2312" w:cs="fang_song_gb2312"/>
          <w:kern w:val="0"/>
          <w:sz w:val="27"/>
          <w:szCs w:val="27"/>
          <w:highlight w:val="none"/>
          <w:u w:val="none"/>
        </w:rPr>
        <w:t>全年预算数为</w:t>
      </w:r>
      <w:r>
        <w:rPr>
          <w:rFonts w:hint="eastAsia" w:ascii="times_new_roman" w:hAnsi="times_new_roman" w:eastAsia="宋体" w:cs="times_new_roman"/>
          <w:kern w:val="0"/>
          <w:sz w:val="27"/>
          <w:szCs w:val="27"/>
          <w:highlight w:val="none"/>
          <w:u w:val="none"/>
          <w:lang w:val="en-US" w:eastAsia="zh-CN"/>
        </w:rPr>
        <w:t>55.00</w:t>
      </w:r>
      <w:r>
        <w:rPr>
          <w:rFonts w:ascii="fang_song_gb2312" w:hAnsi="fang_song_gb2312" w:eastAsia="fang_song_gb2312" w:cs="fang_song_gb2312"/>
          <w:kern w:val="0"/>
          <w:sz w:val="27"/>
          <w:szCs w:val="27"/>
          <w:highlight w:val="none"/>
          <w:u w:val="none"/>
        </w:rPr>
        <w:t>万元，执行数为</w:t>
      </w:r>
      <w:r>
        <w:rPr>
          <w:rFonts w:hint="eastAsia" w:ascii="times_new_roman" w:hAnsi="times_new_roman" w:eastAsia="宋体" w:cs="times_new_roman"/>
          <w:kern w:val="0"/>
          <w:sz w:val="27"/>
          <w:szCs w:val="27"/>
          <w:highlight w:val="none"/>
          <w:u w:val="none"/>
          <w:lang w:val="en-US" w:eastAsia="zh-CN"/>
        </w:rPr>
        <w:t>30.23</w:t>
      </w:r>
      <w:r>
        <w:rPr>
          <w:rFonts w:ascii="fang_song_gb2312" w:hAnsi="fang_song_gb2312" w:eastAsia="fang_song_gb2312" w:cs="fang_song_gb2312"/>
          <w:kern w:val="0"/>
          <w:sz w:val="27"/>
          <w:szCs w:val="27"/>
          <w:highlight w:val="none"/>
          <w:u w:val="none"/>
        </w:rPr>
        <w:t>万元，完成预算的</w:t>
      </w:r>
      <w:r>
        <w:rPr>
          <w:rFonts w:hint="eastAsia" w:ascii="times_new_roman" w:hAnsi="times_new_roman" w:eastAsia="宋体" w:cs="times_new_roman"/>
          <w:kern w:val="0"/>
          <w:sz w:val="27"/>
          <w:szCs w:val="27"/>
          <w:highlight w:val="none"/>
          <w:u w:val="none"/>
          <w:lang w:val="en-US" w:eastAsia="zh-CN"/>
        </w:rPr>
        <w:t>54.96</w:t>
      </w:r>
      <w:r>
        <w:rPr>
          <w:rFonts w:ascii="fang_song_gb2312" w:hAnsi="fang_song_gb2312" w:eastAsia="fang_song_gb2312" w:cs="fang_song_gb2312"/>
          <w:kern w:val="0"/>
          <w:sz w:val="27"/>
          <w:szCs w:val="27"/>
          <w:highlight w:val="none"/>
          <w:u w:val="none"/>
        </w:rPr>
        <w:t>%</w:t>
      </w:r>
      <w:r>
        <w:rPr>
          <w:rFonts w:hint="eastAsia" w:ascii="fang_song_gb2312" w:hAnsi="fang_song_gb2312" w:eastAsia="宋体" w:cs="fang_song_gb2312"/>
          <w:kern w:val="0"/>
          <w:sz w:val="27"/>
          <w:szCs w:val="27"/>
          <w:highlight w:val="none"/>
          <w:u w:val="none"/>
          <w:lang w:eastAsia="zh-CN"/>
        </w:rPr>
        <w:t>，</w:t>
      </w:r>
      <w:r>
        <w:rPr>
          <w:rFonts w:hint="eastAsia" w:ascii="fang_song_gb2312" w:hAnsi="fang_song_gb2312" w:eastAsia="宋体" w:cs="fang_song_gb2312"/>
          <w:kern w:val="0"/>
          <w:sz w:val="27"/>
          <w:szCs w:val="27"/>
          <w:highlight w:val="none"/>
          <w:u w:val="none"/>
          <w:lang w:val="en-US" w:eastAsia="zh-CN"/>
        </w:rPr>
        <w:t>预算执行率低</w:t>
      </w:r>
      <w:r>
        <w:rPr>
          <w:rFonts w:ascii="fang_song_gb2312" w:hAnsi="fang_song_gb2312" w:eastAsia="fang_song_gb2312" w:cs="fang_song_gb2312"/>
          <w:kern w:val="0"/>
          <w:sz w:val="27"/>
          <w:szCs w:val="27"/>
          <w:highlight w:val="none"/>
        </w:rPr>
        <w:t>。下一步改进措施：</w:t>
      </w:r>
      <w:r>
        <w:rPr>
          <w:rFonts w:hint="eastAsia" w:ascii="fang_song_gb2312" w:hAnsi="fang_song_gb2312" w:eastAsia="宋体" w:cs="fang_song_gb2312"/>
          <w:kern w:val="0"/>
          <w:sz w:val="27"/>
          <w:szCs w:val="27"/>
          <w:highlight w:val="none"/>
          <w:lang w:val="en-US" w:eastAsia="zh-CN"/>
        </w:rPr>
        <w:t>提高预算编制准确性，项目支出严格按照预算执行</w:t>
      </w:r>
    </w:p>
    <w:tbl>
      <w:tblPr>
        <w:tblStyle w:val="22"/>
        <w:tblW w:w="100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0"/>
        <w:gridCol w:w="780"/>
        <w:gridCol w:w="1110"/>
        <w:gridCol w:w="780"/>
        <w:gridCol w:w="780"/>
        <w:gridCol w:w="780"/>
        <w:gridCol w:w="780"/>
        <w:gridCol w:w="780"/>
        <w:gridCol w:w="780"/>
        <w:gridCol w:w="780"/>
        <w:gridCol w:w="1095"/>
      </w:tblGrid>
      <w:tr w14:paraId="1221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00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21352B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(2023年度）</w:t>
            </w:r>
          </w:p>
        </w:tc>
      </w:tr>
      <w:tr w14:paraId="34B5D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5C6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4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5B4B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满都拉口岸通勤车费用</w:t>
            </w:r>
          </w:p>
        </w:tc>
      </w:tr>
      <w:tr w14:paraId="47C50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299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4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ECCF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包头市商务局（部门）</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776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3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7C6F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包头市口岸服务中心</w:t>
            </w:r>
          </w:p>
        </w:tc>
      </w:tr>
      <w:tr w14:paraId="1EA5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44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9664">
            <w:pPr>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6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DA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B5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A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55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F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6DBC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234A3">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4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B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0F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A0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7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7A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3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r>
      <w:tr w14:paraId="57000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079DC">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E5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B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5E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A8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7D30">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6E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65CB">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5D5EA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6DC48">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4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35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A0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B5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C9DD">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16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2CD5">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2E13F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94938">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4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0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4D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92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0B1C">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70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28F7">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7B5E8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CB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4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193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23E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E727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0E1A9">
            <w:pPr>
              <w:jc w:val="center"/>
              <w:rPr>
                <w:rFonts w:hint="eastAsia" w:ascii="宋体" w:hAnsi="宋体" w:eastAsia="宋体" w:cs="宋体"/>
                <w:i w:val="0"/>
                <w:iCs w:val="0"/>
                <w:color w:val="000000"/>
                <w:sz w:val="18"/>
                <w:szCs w:val="18"/>
                <w:u w:val="none"/>
              </w:rPr>
            </w:pPr>
          </w:p>
        </w:tc>
        <w:tc>
          <w:tcPr>
            <w:tcW w:w="4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366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为协调配合各联检单位做好口岸通关服务工作，保障联检单位工作人员正常往返，包头市口岸服务中心为满都拉口岸提供服务保障以及联检单位通勤车服务项目。</w:t>
            </w:r>
          </w:p>
        </w:tc>
        <w:tc>
          <w:tcPr>
            <w:tcW w:w="4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4B7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支付满都拉口岸通勤车费用，保障联检单位用车需求。</w:t>
            </w:r>
          </w:p>
        </w:tc>
      </w:tr>
      <w:tr w14:paraId="6BBB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B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A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6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2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2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8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E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D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1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9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F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F5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64CFA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vMerge w:val="restart"/>
            <w:tcBorders>
              <w:top w:val="single" w:color="000000" w:sz="4" w:space="0"/>
              <w:left w:val="single" w:color="000000" w:sz="4" w:space="0"/>
              <w:bottom w:val="nil"/>
              <w:right w:val="single" w:color="000000" w:sz="4" w:space="0"/>
            </w:tcBorders>
            <w:shd w:val="clear" w:color="auto" w:fill="auto"/>
            <w:vAlign w:val="center"/>
          </w:tcPr>
          <w:p w14:paraId="6696E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780" w:type="dxa"/>
            <w:vMerge w:val="restart"/>
            <w:tcBorders>
              <w:top w:val="single" w:color="000000" w:sz="4" w:space="0"/>
              <w:left w:val="single" w:color="000000" w:sz="4" w:space="0"/>
              <w:bottom w:val="nil"/>
              <w:right w:val="single" w:color="000000" w:sz="4" w:space="0"/>
            </w:tcBorders>
            <w:shd w:val="clear" w:color="auto" w:fill="auto"/>
            <w:vAlign w:val="center"/>
          </w:tcPr>
          <w:p w14:paraId="2A64B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23D94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5EB81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通勤次数</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46159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1DC5A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21D46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28721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79B49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趟</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30191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38C04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95" w:type="dxa"/>
            <w:tcBorders>
              <w:top w:val="single" w:color="000000" w:sz="4" w:space="0"/>
              <w:left w:val="single" w:color="000000" w:sz="4" w:space="0"/>
              <w:bottom w:val="nil"/>
              <w:right w:val="single" w:color="000000" w:sz="4" w:space="0"/>
            </w:tcBorders>
            <w:shd w:val="clear" w:color="auto" w:fill="auto"/>
            <w:vAlign w:val="center"/>
          </w:tcPr>
          <w:p w14:paraId="12E4E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年初受疫情影响，导致趟数减少</w:t>
            </w:r>
          </w:p>
        </w:tc>
      </w:tr>
      <w:tr w14:paraId="02AC5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49CBD154">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7EFFE517">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nil"/>
              <w:right w:val="single" w:color="000000" w:sz="4" w:space="0"/>
            </w:tcBorders>
            <w:shd w:val="clear" w:color="auto" w:fill="auto"/>
            <w:vAlign w:val="center"/>
          </w:tcPr>
          <w:p w14:paraId="3E6C7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79E1A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通勤车故障率</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30227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3C31A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7D775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51DEB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7DC12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5649C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31BB8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95" w:type="dxa"/>
            <w:tcBorders>
              <w:top w:val="single" w:color="000000" w:sz="4" w:space="0"/>
              <w:left w:val="single" w:color="000000" w:sz="4" w:space="0"/>
              <w:bottom w:val="nil"/>
              <w:right w:val="single" w:color="000000" w:sz="4" w:space="0"/>
            </w:tcBorders>
            <w:shd w:val="clear" w:color="auto" w:fill="auto"/>
            <w:vAlign w:val="center"/>
          </w:tcPr>
          <w:p w14:paraId="49F9802A">
            <w:pPr>
              <w:jc w:val="center"/>
              <w:rPr>
                <w:rFonts w:hint="eastAsia" w:ascii="宋体" w:hAnsi="宋体" w:eastAsia="宋体" w:cs="宋体"/>
                <w:i w:val="0"/>
                <w:iCs w:val="0"/>
                <w:color w:val="000000"/>
                <w:sz w:val="18"/>
                <w:szCs w:val="18"/>
                <w:u w:val="none"/>
              </w:rPr>
            </w:pPr>
          </w:p>
        </w:tc>
      </w:tr>
      <w:tr w14:paraId="6BE97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1B671BFC">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3F7383A4">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nil"/>
              <w:right w:val="single" w:color="000000" w:sz="4" w:space="0"/>
            </w:tcBorders>
            <w:shd w:val="clear" w:color="auto" w:fill="auto"/>
            <w:vAlign w:val="center"/>
          </w:tcPr>
          <w:p w14:paraId="7645A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1F339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完成通勤时间</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2B957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76D49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475E3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74E2E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07589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7BACE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24A21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95" w:type="dxa"/>
            <w:tcBorders>
              <w:top w:val="single" w:color="000000" w:sz="4" w:space="0"/>
              <w:left w:val="single" w:color="000000" w:sz="4" w:space="0"/>
              <w:bottom w:val="nil"/>
              <w:right w:val="single" w:color="000000" w:sz="4" w:space="0"/>
            </w:tcBorders>
            <w:shd w:val="clear" w:color="auto" w:fill="auto"/>
            <w:vAlign w:val="center"/>
          </w:tcPr>
          <w:p w14:paraId="3E900BFD">
            <w:pPr>
              <w:jc w:val="center"/>
              <w:rPr>
                <w:rFonts w:hint="eastAsia" w:ascii="宋体" w:hAnsi="宋体" w:eastAsia="宋体" w:cs="宋体"/>
                <w:i w:val="0"/>
                <w:iCs w:val="0"/>
                <w:color w:val="000000"/>
                <w:sz w:val="18"/>
                <w:szCs w:val="18"/>
                <w:u w:val="none"/>
              </w:rPr>
            </w:pPr>
          </w:p>
        </w:tc>
      </w:tr>
      <w:tr w14:paraId="67C8F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7DC47523">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66172163">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nil"/>
              <w:right w:val="single" w:color="000000" w:sz="4" w:space="0"/>
            </w:tcBorders>
            <w:shd w:val="clear" w:color="auto" w:fill="auto"/>
            <w:vAlign w:val="center"/>
          </w:tcPr>
          <w:p w14:paraId="4DC18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12005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通勤服务相关费用</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7A767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61B38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32282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4B3EE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36F57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147FF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158A0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95" w:type="dxa"/>
            <w:tcBorders>
              <w:top w:val="single" w:color="000000" w:sz="4" w:space="0"/>
              <w:left w:val="single" w:color="000000" w:sz="4" w:space="0"/>
              <w:bottom w:val="nil"/>
              <w:right w:val="single" w:color="000000" w:sz="4" w:space="0"/>
            </w:tcBorders>
            <w:shd w:val="clear" w:color="auto" w:fill="auto"/>
            <w:vAlign w:val="center"/>
          </w:tcPr>
          <w:p w14:paraId="5D53817B">
            <w:pPr>
              <w:jc w:val="center"/>
              <w:rPr>
                <w:rFonts w:hint="eastAsia" w:ascii="宋体" w:hAnsi="宋体" w:eastAsia="宋体" w:cs="宋体"/>
                <w:i w:val="0"/>
                <w:iCs w:val="0"/>
                <w:color w:val="000000"/>
                <w:sz w:val="18"/>
                <w:szCs w:val="18"/>
                <w:u w:val="none"/>
              </w:rPr>
            </w:pPr>
          </w:p>
        </w:tc>
      </w:tr>
      <w:tr w14:paraId="30E3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58078504">
            <w:pPr>
              <w:jc w:val="center"/>
              <w:rPr>
                <w:rFonts w:hint="eastAsia" w:ascii="宋体" w:hAnsi="宋体" w:eastAsia="宋体" w:cs="宋体"/>
                <w:i w:val="0"/>
                <w:iCs w:val="0"/>
                <w:color w:val="000000"/>
                <w:sz w:val="18"/>
                <w:szCs w:val="18"/>
                <w:u w:val="none"/>
              </w:rPr>
            </w:pPr>
          </w:p>
        </w:tc>
        <w:tc>
          <w:tcPr>
            <w:tcW w:w="780" w:type="dxa"/>
            <w:vMerge w:val="restart"/>
            <w:tcBorders>
              <w:top w:val="single" w:color="000000" w:sz="4" w:space="0"/>
              <w:left w:val="single" w:color="000000" w:sz="4" w:space="0"/>
              <w:bottom w:val="nil"/>
              <w:right w:val="single" w:color="000000" w:sz="4" w:space="0"/>
            </w:tcBorders>
            <w:shd w:val="clear" w:color="auto" w:fill="auto"/>
            <w:vAlign w:val="center"/>
          </w:tcPr>
          <w:p w14:paraId="5AAEF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770DE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686C5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保障通勤人员正常往返</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231B9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022DE109">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nil"/>
              <w:right w:val="single" w:color="000000" w:sz="4" w:space="0"/>
            </w:tcBorders>
            <w:shd w:val="clear" w:color="auto" w:fill="auto"/>
            <w:vAlign w:val="center"/>
          </w:tcPr>
          <w:p w14:paraId="0C8E9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70A45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409E20A9">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nil"/>
              <w:right w:val="single" w:color="000000" w:sz="4" w:space="0"/>
            </w:tcBorders>
            <w:shd w:val="clear" w:color="auto" w:fill="auto"/>
            <w:vAlign w:val="center"/>
          </w:tcPr>
          <w:p w14:paraId="2D386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333AD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95" w:type="dxa"/>
            <w:tcBorders>
              <w:top w:val="single" w:color="000000" w:sz="4" w:space="0"/>
              <w:left w:val="single" w:color="000000" w:sz="4" w:space="0"/>
              <w:bottom w:val="nil"/>
              <w:right w:val="single" w:color="000000" w:sz="4" w:space="0"/>
            </w:tcBorders>
            <w:shd w:val="clear" w:color="auto" w:fill="auto"/>
            <w:vAlign w:val="center"/>
          </w:tcPr>
          <w:p w14:paraId="3CCB9B58">
            <w:pPr>
              <w:jc w:val="center"/>
              <w:rPr>
                <w:rFonts w:hint="eastAsia" w:ascii="宋体" w:hAnsi="宋体" w:eastAsia="宋体" w:cs="宋体"/>
                <w:i w:val="0"/>
                <w:iCs w:val="0"/>
                <w:color w:val="000000"/>
                <w:sz w:val="18"/>
                <w:szCs w:val="18"/>
                <w:u w:val="none"/>
              </w:rPr>
            </w:pPr>
          </w:p>
        </w:tc>
      </w:tr>
      <w:tr w14:paraId="49854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0A75F3C9">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71FB8632">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nil"/>
              <w:right w:val="single" w:color="000000" w:sz="4" w:space="0"/>
            </w:tcBorders>
            <w:shd w:val="clear" w:color="auto" w:fill="auto"/>
            <w:vAlign w:val="center"/>
          </w:tcPr>
          <w:p w14:paraId="0B0B7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3416F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确保口岸通关服务正常运行</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47C48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4246325E">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nil"/>
              <w:right w:val="single" w:color="000000" w:sz="4" w:space="0"/>
            </w:tcBorders>
            <w:shd w:val="clear" w:color="auto" w:fill="auto"/>
            <w:vAlign w:val="center"/>
          </w:tcPr>
          <w:p w14:paraId="09DD1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2BFD5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55FB36B4">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nil"/>
              <w:right w:val="single" w:color="000000" w:sz="4" w:space="0"/>
            </w:tcBorders>
            <w:shd w:val="clear" w:color="auto" w:fill="auto"/>
            <w:vAlign w:val="center"/>
          </w:tcPr>
          <w:p w14:paraId="52E1C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59AF2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95" w:type="dxa"/>
            <w:tcBorders>
              <w:top w:val="single" w:color="000000" w:sz="4" w:space="0"/>
              <w:left w:val="single" w:color="000000" w:sz="4" w:space="0"/>
              <w:bottom w:val="nil"/>
              <w:right w:val="single" w:color="000000" w:sz="4" w:space="0"/>
            </w:tcBorders>
            <w:shd w:val="clear" w:color="auto" w:fill="auto"/>
            <w:vAlign w:val="center"/>
          </w:tcPr>
          <w:p w14:paraId="5294CC29">
            <w:pPr>
              <w:jc w:val="center"/>
              <w:rPr>
                <w:rFonts w:hint="eastAsia" w:ascii="宋体" w:hAnsi="宋体" w:eastAsia="宋体" w:cs="宋体"/>
                <w:i w:val="0"/>
                <w:iCs w:val="0"/>
                <w:color w:val="000000"/>
                <w:sz w:val="18"/>
                <w:szCs w:val="18"/>
                <w:u w:val="none"/>
              </w:rPr>
            </w:pPr>
          </w:p>
        </w:tc>
      </w:tr>
      <w:tr w14:paraId="616B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0D7605B7">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nil"/>
              <w:right w:val="single" w:color="000000" w:sz="4" w:space="0"/>
            </w:tcBorders>
            <w:shd w:val="clear" w:color="auto" w:fill="auto"/>
            <w:vAlign w:val="center"/>
          </w:tcPr>
          <w:p w14:paraId="30D54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185F4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79B36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通勤人员满意度</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7C912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089C4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3E00F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6B0B8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2C32B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1FA0D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556A0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95" w:type="dxa"/>
            <w:tcBorders>
              <w:top w:val="single" w:color="000000" w:sz="4" w:space="0"/>
              <w:left w:val="single" w:color="000000" w:sz="4" w:space="0"/>
              <w:bottom w:val="nil"/>
              <w:right w:val="single" w:color="000000" w:sz="4" w:space="0"/>
            </w:tcBorders>
            <w:shd w:val="clear" w:color="auto" w:fill="auto"/>
            <w:vAlign w:val="center"/>
          </w:tcPr>
          <w:p w14:paraId="407E91CC">
            <w:pPr>
              <w:jc w:val="center"/>
              <w:rPr>
                <w:rFonts w:hint="eastAsia" w:ascii="宋体" w:hAnsi="宋体" w:eastAsia="宋体" w:cs="宋体"/>
                <w:i w:val="0"/>
                <w:iCs w:val="0"/>
                <w:color w:val="000000"/>
                <w:sz w:val="18"/>
                <w:szCs w:val="18"/>
                <w:u w:val="none"/>
              </w:rPr>
            </w:pPr>
          </w:p>
        </w:tc>
      </w:tr>
      <w:tr w14:paraId="1260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E4B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A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9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4630">
            <w:pPr>
              <w:jc w:val="center"/>
              <w:rPr>
                <w:rFonts w:hint="eastAsia" w:ascii="宋体" w:hAnsi="宋体" w:eastAsia="宋体" w:cs="宋体"/>
                <w:i w:val="0"/>
                <w:iCs w:val="0"/>
                <w:color w:val="000000"/>
                <w:sz w:val="18"/>
                <w:szCs w:val="18"/>
                <w:u w:val="none"/>
              </w:rPr>
            </w:pPr>
          </w:p>
        </w:tc>
      </w:tr>
    </w:tbl>
    <w:p w14:paraId="141FDE66">
      <w:pPr>
        <w:widowControl/>
        <w:spacing w:before="240" w:after="240"/>
        <w:ind w:firstLine="540" w:firstLineChars="200"/>
        <w:rPr>
          <w:rFonts w:ascii="Times New Roman" w:hAnsi="Times New Roman" w:eastAsia="Times New Roman" w:cs="Times New Roman"/>
          <w:kern w:val="0"/>
          <w:sz w:val="24"/>
        </w:rPr>
      </w:pPr>
      <w:r>
        <w:rPr>
          <w:rFonts w:hint="eastAsia" w:ascii="fang_song_gb2312" w:hAnsi="fang_song_gb2312" w:eastAsia="宋体" w:cs="fang_song_gb2312"/>
          <w:kern w:val="0"/>
          <w:sz w:val="27"/>
          <w:szCs w:val="27"/>
          <w:lang w:val="en-US" w:eastAsia="zh-CN"/>
        </w:rPr>
        <w:t>3</w:t>
      </w:r>
      <w:r>
        <w:rPr>
          <w:rFonts w:ascii="times_new_roman" w:hAnsi="times_new_roman" w:eastAsia="times_new_roman" w:cs="times_new_roman"/>
          <w:kern w:val="0"/>
          <w:sz w:val="27"/>
          <w:szCs w:val="27"/>
          <w:u w:val="none"/>
        </w:rPr>
        <w:t>.</w:t>
      </w:r>
      <w:r>
        <w:rPr>
          <w:rFonts w:hint="eastAsia" w:ascii="times_new_roman" w:hAnsi="times_new_roman" w:eastAsia="times_new_roman" w:cs="times_new_roman"/>
          <w:kern w:val="0"/>
          <w:sz w:val="27"/>
          <w:szCs w:val="27"/>
          <w:u w:val="none"/>
        </w:rPr>
        <w:t>满都拉-杭吉跨境铁路项目工作经费</w:t>
      </w:r>
      <w:r>
        <w:rPr>
          <w:rFonts w:ascii="fang_song_gb2312" w:hAnsi="fang_song_gb2312" w:eastAsia="fang_song_gb2312" w:cs="fang_song_gb2312"/>
          <w:kern w:val="0"/>
          <w:sz w:val="27"/>
          <w:szCs w:val="27"/>
          <w:u w:val="none"/>
        </w:rPr>
        <w:t>项目自评综述：根据年初设定的绩效目标，项目自评得分</w:t>
      </w:r>
      <w:r>
        <w:rPr>
          <w:rFonts w:hint="eastAsia" w:ascii="times_new_roman" w:hAnsi="times_new_roman" w:cs="times_new_roman"/>
          <w:kern w:val="0"/>
          <w:sz w:val="27"/>
          <w:szCs w:val="27"/>
          <w:u w:val="none"/>
          <w:lang w:val="en-US" w:eastAsia="zh-CN"/>
        </w:rPr>
        <w:t>83.38</w:t>
      </w:r>
      <w:r>
        <w:rPr>
          <w:rFonts w:ascii="fang_song_gb2312" w:hAnsi="fang_song_gb2312" w:eastAsia="fang_song_gb2312" w:cs="fang_song_gb2312"/>
          <w:kern w:val="0"/>
          <w:sz w:val="27"/>
          <w:szCs w:val="27"/>
          <w:u w:val="none"/>
        </w:rPr>
        <w:t>分。全年预算数为</w:t>
      </w:r>
      <w:r>
        <w:rPr>
          <w:rFonts w:hint="eastAsia" w:ascii="times_new_roman" w:hAnsi="times_new_roman" w:cs="times_new_roman"/>
          <w:kern w:val="0"/>
          <w:sz w:val="27"/>
          <w:szCs w:val="27"/>
          <w:u w:val="none"/>
          <w:lang w:val="en-US" w:eastAsia="zh-CN"/>
        </w:rPr>
        <w:t>100.00</w:t>
      </w:r>
      <w:r>
        <w:rPr>
          <w:rFonts w:ascii="fang_song_gb2312" w:hAnsi="fang_song_gb2312" w:eastAsia="fang_song_gb2312" w:cs="fang_song_gb2312"/>
          <w:kern w:val="0"/>
          <w:sz w:val="27"/>
          <w:szCs w:val="27"/>
          <w:u w:val="none"/>
        </w:rPr>
        <w:t>万元，执行数为</w:t>
      </w:r>
      <w:r>
        <w:rPr>
          <w:rFonts w:hint="eastAsia" w:ascii="times_new_roman" w:hAnsi="times_new_roman" w:cs="times_new_roman"/>
          <w:kern w:val="0"/>
          <w:sz w:val="27"/>
          <w:szCs w:val="27"/>
          <w:u w:val="none"/>
          <w:lang w:val="en-US" w:eastAsia="zh-CN"/>
        </w:rPr>
        <w:t>13.83</w:t>
      </w:r>
      <w:r>
        <w:rPr>
          <w:rFonts w:ascii="fang_song_gb2312" w:hAnsi="fang_song_gb2312" w:eastAsia="fang_song_gb2312" w:cs="fang_song_gb2312"/>
          <w:kern w:val="0"/>
          <w:sz w:val="27"/>
          <w:szCs w:val="27"/>
          <w:u w:val="none"/>
        </w:rPr>
        <w:t>万</w:t>
      </w:r>
      <w:r>
        <w:rPr>
          <w:rFonts w:ascii="fang_song_gb2312" w:hAnsi="fang_song_gb2312" w:eastAsia="fang_song_gb2312" w:cs="fang_song_gb2312"/>
          <w:kern w:val="0"/>
          <w:sz w:val="27"/>
          <w:szCs w:val="27"/>
          <w:highlight w:val="none"/>
          <w:u w:val="none"/>
        </w:rPr>
        <w:t>元，完成预算的</w:t>
      </w:r>
      <w:r>
        <w:rPr>
          <w:rFonts w:hint="eastAsia" w:ascii="times_new_roman" w:hAnsi="times_new_roman" w:cs="times_new_roman"/>
          <w:kern w:val="0"/>
          <w:sz w:val="27"/>
          <w:szCs w:val="27"/>
          <w:highlight w:val="none"/>
          <w:u w:val="none"/>
          <w:lang w:val="en-US" w:eastAsia="zh-CN"/>
        </w:rPr>
        <w:t>13.83</w:t>
      </w:r>
      <w:r>
        <w:rPr>
          <w:rFonts w:ascii="fang_song_gb2312" w:hAnsi="fang_song_gb2312" w:eastAsia="fang_song_gb2312" w:cs="fang_song_gb2312"/>
          <w:kern w:val="0"/>
          <w:sz w:val="27"/>
          <w:szCs w:val="27"/>
          <w:highlight w:val="none"/>
          <w:u w:val="none"/>
        </w:rPr>
        <w:t>%。项目绩效目标完成情况：</w:t>
      </w:r>
      <w:r>
        <w:rPr>
          <w:rFonts w:hint="eastAsia" w:ascii="fang_song_gb2312" w:hAnsi="fang_song_gb2312" w:eastAsia="fang_song_gb2312" w:cs="fang_song_gb2312"/>
          <w:kern w:val="0"/>
          <w:sz w:val="27"/>
          <w:szCs w:val="27"/>
          <w:highlight w:val="none"/>
          <w:u w:val="none"/>
          <w:lang w:val="en-US" w:eastAsia="zh-CN"/>
        </w:rPr>
        <w:t>推动满都拉至杭吉口岸跨境铁路连接线，推动口岸发展。项目</w:t>
      </w:r>
      <w:r>
        <w:rPr>
          <w:rFonts w:ascii="fang_song_gb2312" w:hAnsi="fang_song_gb2312" w:eastAsia="fang_song_gb2312" w:cs="fang_song_gb2312"/>
          <w:kern w:val="0"/>
          <w:sz w:val="27"/>
          <w:szCs w:val="27"/>
          <w:highlight w:val="none"/>
        </w:rPr>
        <w:t>发现的主要问题及原因：</w:t>
      </w:r>
      <w:r>
        <w:rPr>
          <w:rFonts w:hint="eastAsia" w:ascii="fang_song_gb2312" w:hAnsi="fang_song_gb2312" w:eastAsia="fang_song_gb2312" w:cs="fang_song_gb2312"/>
          <w:kern w:val="0"/>
          <w:sz w:val="27"/>
          <w:szCs w:val="27"/>
          <w:highlight w:val="none"/>
          <w:u w:val="none"/>
        </w:rPr>
        <w:t>截止2023年末，全年执行13.83万元</w:t>
      </w:r>
      <w:r>
        <w:rPr>
          <w:rFonts w:hint="eastAsia" w:ascii="fang_song_gb2312" w:hAnsi="fang_song_gb2312" w:eastAsia="宋体" w:cs="fang_song_gb2312"/>
          <w:kern w:val="0"/>
          <w:sz w:val="27"/>
          <w:szCs w:val="27"/>
          <w:highlight w:val="none"/>
          <w:u w:val="none"/>
          <w:lang w:eastAsia="zh-CN"/>
        </w:rPr>
        <w:t>，</w:t>
      </w:r>
      <w:r>
        <w:rPr>
          <w:rFonts w:hint="eastAsia" w:ascii="fang_song_gb2312" w:hAnsi="fang_song_gb2312" w:eastAsia="宋体" w:cs="fang_song_gb2312"/>
          <w:kern w:val="0"/>
          <w:sz w:val="27"/>
          <w:szCs w:val="27"/>
          <w:highlight w:val="none"/>
          <w:u w:val="none"/>
          <w:lang w:val="en-US" w:eastAsia="zh-CN"/>
        </w:rPr>
        <w:t>预算执行率比较低，主要原因为根据项目实施进度支付项目款项</w:t>
      </w:r>
      <w:r>
        <w:rPr>
          <w:rFonts w:ascii="fang_song_gb2312" w:hAnsi="fang_song_gb2312" w:eastAsia="fang_song_gb2312" w:cs="fang_song_gb2312"/>
          <w:kern w:val="0"/>
          <w:sz w:val="27"/>
          <w:szCs w:val="27"/>
          <w:highlight w:val="none"/>
        </w:rPr>
        <w:t>。下一步改进措施：</w:t>
      </w:r>
      <w:r>
        <w:rPr>
          <w:rFonts w:hint="eastAsia" w:ascii="fang_song_gb2312" w:hAnsi="fang_song_gb2312" w:cs="fang_song_gb2312"/>
          <w:kern w:val="0"/>
          <w:sz w:val="27"/>
          <w:szCs w:val="27"/>
          <w:highlight w:val="none"/>
          <w:lang w:val="en-US" w:eastAsia="zh-CN"/>
        </w:rPr>
        <w:t>提高预算编制准确性，项目支出严格按照预算执行</w:t>
      </w:r>
      <w:r>
        <w:rPr>
          <w:rFonts w:ascii="fang_song_gb2312" w:hAnsi="fang_song_gb2312" w:eastAsia="fang_song_gb2312" w:cs="fang_song_gb2312"/>
          <w:kern w:val="0"/>
          <w:sz w:val="27"/>
          <w:szCs w:val="27"/>
          <w:highlight w:val="none"/>
        </w:rPr>
        <w:t>。</w:t>
      </w:r>
    </w:p>
    <w:tbl>
      <w:tblPr>
        <w:tblStyle w:val="22"/>
        <w:tblW w:w="99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810"/>
        <w:gridCol w:w="810"/>
        <w:gridCol w:w="810"/>
        <w:gridCol w:w="810"/>
        <w:gridCol w:w="810"/>
        <w:gridCol w:w="810"/>
        <w:gridCol w:w="810"/>
        <w:gridCol w:w="810"/>
        <w:gridCol w:w="647"/>
        <w:gridCol w:w="771"/>
        <w:gridCol w:w="1207"/>
      </w:tblGrid>
      <w:tr w14:paraId="61450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91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6D78B8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(2023年度）</w:t>
            </w:r>
          </w:p>
        </w:tc>
      </w:tr>
      <w:tr w14:paraId="33A22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447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2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D49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满都拉-杭吉跨境铁路项目工作经费</w:t>
            </w:r>
          </w:p>
        </w:tc>
      </w:tr>
      <w:tr w14:paraId="06E06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08E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3063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包头市商务局（部门）</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71B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3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3434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包头市口岸服务中心</w:t>
            </w:r>
          </w:p>
        </w:tc>
      </w:tr>
      <w:tr w14:paraId="78177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6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EB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7C20">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6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75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47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9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B0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9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A3A3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F63FC">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D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43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91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6E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4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A0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13.83</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3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r>
      <w:tr w14:paraId="0E6E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33DF0">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82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F1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12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15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680A">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B6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13.83</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EA8A">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4E8A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F96CF">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8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AA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E3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5A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25D6">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13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452D">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71DA4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FBB53">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8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30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6B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59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CD2F">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DC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B876">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073E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6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4E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4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7CB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2D0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08E1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0CF08">
            <w:pPr>
              <w:jc w:val="center"/>
              <w:rPr>
                <w:rFonts w:hint="eastAsia" w:ascii="宋体" w:hAnsi="宋体" w:eastAsia="宋体" w:cs="宋体"/>
                <w:i w:val="0"/>
                <w:iCs w:val="0"/>
                <w:color w:val="000000"/>
                <w:sz w:val="18"/>
                <w:szCs w:val="18"/>
                <w:u w:val="none"/>
              </w:rPr>
            </w:pPr>
          </w:p>
        </w:tc>
        <w:tc>
          <w:tcPr>
            <w:tcW w:w="4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0C1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用于满都拉-杭吉跨境铁路项目跑办，对接国家发改委、国家口岸办、自治区口岸办、满都拉口岸。</w:t>
            </w:r>
          </w:p>
        </w:tc>
        <w:tc>
          <w:tcPr>
            <w:tcW w:w="4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218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截止2023年末，全年执行13.83万元。</w:t>
            </w:r>
          </w:p>
        </w:tc>
      </w:tr>
      <w:tr w14:paraId="5C566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4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8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6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7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2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F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C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3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8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0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7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4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529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151AB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7407E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6D765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2985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协调铁路路线</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400E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BA09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6234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FAAD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66CA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47" w:type="dxa"/>
            <w:tcBorders>
              <w:top w:val="single" w:color="000000" w:sz="4" w:space="0"/>
              <w:left w:val="single" w:color="000000" w:sz="4" w:space="0"/>
              <w:bottom w:val="nil"/>
              <w:right w:val="single" w:color="000000" w:sz="4" w:space="0"/>
            </w:tcBorders>
            <w:shd w:val="clear" w:color="auto" w:fill="auto"/>
            <w:vAlign w:val="center"/>
          </w:tcPr>
          <w:p w14:paraId="611DA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71" w:type="dxa"/>
            <w:tcBorders>
              <w:top w:val="single" w:color="000000" w:sz="4" w:space="0"/>
              <w:left w:val="single" w:color="000000" w:sz="4" w:space="0"/>
              <w:bottom w:val="nil"/>
              <w:right w:val="single" w:color="000000" w:sz="4" w:space="0"/>
            </w:tcBorders>
            <w:shd w:val="clear" w:color="auto" w:fill="auto"/>
            <w:vAlign w:val="center"/>
          </w:tcPr>
          <w:p w14:paraId="1B5AE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07" w:type="dxa"/>
            <w:tcBorders>
              <w:top w:val="single" w:color="000000" w:sz="4" w:space="0"/>
              <w:left w:val="single" w:color="000000" w:sz="4" w:space="0"/>
              <w:bottom w:val="nil"/>
              <w:right w:val="single" w:color="000000" w:sz="4" w:space="0"/>
            </w:tcBorders>
            <w:shd w:val="clear" w:color="auto" w:fill="auto"/>
            <w:vAlign w:val="center"/>
          </w:tcPr>
          <w:p w14:paraId="212FF598">
            <w:pPr>
              <w:jc w:val="center"/>
              <w:rPr>
                <w:rFonts w:hint="eastAsia" w:ascii="宋体" w:hAnsi="宋体" w:eastAsia="宋体" w:cs="宋体"/>
                <w:i w:val="0"/>
                <w:iCs w:val="0"/>
                <w:color w:val="000000"/>
                <w:sz w:val="18"/>
                <w:szCs w:val="18"/>
                <w:u w:val="none"/>
              </w:rPr>
            </w:pPr>
          </w:p>
        </w:tc>
      </w:tr>
      <w:tr w14:paraId="12FF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13B0A068">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15ED91B8">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2CC2DC56">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0A21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跑办月份</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B189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915F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0901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F67D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96EC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647" w:type="dxa"/>
            <w:tcBorders>
              <w:top w:val="single" w:color="000000" w:sz="4" w:space="0"/>
              <w:left w:val="single" w:color="000000" w:sz="4" w:space="0"/>
              <w:bottom w:val="nil"/>
              <w:right w:val="single" w:color="000000" w:sz="4" w:space="0"/>
            </w:tcBorders>
            <w:shd w:val="clear" w:color="auto" w:fill="auto"/>
            <w:vAlign w:val="center"/>
          </w:tcPr>
          <w:p w14:paraId="25058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71" w:type="dxa"/>
            <w:tcBorders>
              <w:top w:val="single" w:color="000000" w:sz="4" w:space="0"/>
              <w:left w:val="single" w:color="000000" w:sz="4" w:space="0"/>
              <w:bottom w:val="nil"/>
              <w:right w:val="single" w:color="000000" w:sz="4" w:space="0"/>
            </w:tcBorders>
            <w:shd w:val="clear" w:color="auto" w:fill="auto"/>
            <w:vAlign w:val="center"/>
          </w:tcPr>
          <w:p w14:paraId="6B3E6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07" w:type="dxa"/>
            <w:tcBorders>
              <w:top w:val="single" w:color="000000" w:sz="4" w:space="0"/>
              <w:left w:val="single" w:color="000000" w:sz="4" w:space="0"/>
              <w:bottom w:val="nil"/>
              <w:right w:val="single" w:color="000000" w:sz="4" w:space="0"/>
            </w:tcBorders>
            <w:shd w:val="clear" w:color="auto" w:fill="auto"/>
            <w:vAlign w:val="center"/>
          </w:tcPr>
          <w:p w14:paraId="716E37A8">
            <w:pPr>
              <w:jc w:val="center"/>
              <w:rPr>
                <w:rFonts w:hint="eastAsia" w:ascii="宋体" w:hAnsi="宋体" w:eastAsia="宋体" w:cs="宋体"/>
                <w:i w:val="0"/>
                <w:iCs w:val="0"/>
                <w:color w:val="000000"/>
                <w:sz w:val="18"/>
                <w:szCs w:val="18"/>
                <w:u w:val="none"/>
              </w:rPr>
            </w:pPr>
          </w:p>
        </w:tc>
      </w:tr>
      <w:tr w14:paraId="7EEB0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7735B2C6">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182512F6">
            <w:pPr>
              <w:jc w:val="center"/>
              <w:rPr>
                <w:rFonts w:hint="eastAsia" w:ascii="宋体" w:hAnsi="宋体" w:eastAsia="宋体" w:cs="宋体"/>
                <w:i w:val="0"/>
                <w:iCs w:val="0"/>
                <w:color w:val="000000"/>
                <w:sz w:val="18"/>
                <w:szCs w:val="18"/>
                <w:u w:val="none"/>
              </w:rPr>
            </w:pP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1F39F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72B8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跑办率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5496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D26E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7445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35CD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B936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47" w:type="dxa"/>
            <w:tcBorders>
              <w:top w:val="single" w:color="000000" w:sz="4" w:space="0"/>
              <w:left w:val="single" w:color="000000" w:sz="4" w:space="0"/>
              <w:bottom w:val="nil"/>
              <w:right w:val="single" w:color="000000" w:sz="4" w:space="0"/>
            </w:tcBorders>
            <w:shd w:val="clear" w:color="auto" w:fill="auto"/>
            <w:vAlign w:val="center"/>
          </w:tcPr>
          <w:p w14:paraId="238D5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71" w:type="dxa"/>
            <w:tcBorders>
              <w:top w:val="single" w:color="000000" w:sz="4" w:space="0"/>
              <w:left w:val="single" w:color="000000" w:sz="4" w:space="0"/>
              <w:bottom w:val="nil"/>
              <w:right w:val="single" w:color="000000" w:sz="4" w:space="0"/>
            </w:tcBorders>
            <w:shd w:val="clear" w:color="auto" w:fill="auto"/>
            <w:vAlign w:val="center"/>
          </w:tcPr>
          <w:p w14:paraId="49358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07" w:type="dxa"/>
            <w:tcBorders>
              <w:top w:val="single" w:color="000000" w:sz="4" w:space="0"/>
              <w:left w:val="single" w:color="000000" w:sz="4" w:space="0"/>
              <w:bottom w:val="nil"/>
              <w:right w:val="single" w:color="000000" w:sz="4" w:space="0"/>
            </w:tcBorders>
            <w:shd w:val="clear" w:color="auto" w:fill="auto"/>
            <w:vAlign w:val="center"/>
          </w:tcPr>
          <w:p w14:paraId="4A091427">
            <w:pPr>
              <w:jc w:val="center"/>
              <w:rPr>
                <w:rFonts w:hint="eastAsia" w:ascii="宋体" w:hAnsi="宋体" w:eastAsia="宋体" w:cs="宋体"/>
                <w:i w:val="0"/>
                <w:iCs w:val="0"/>
                <w:color w:val="000000"/>
                <w:sz w:val="18"/>
                <w:szCs w:val="18"/>
                <w:u w:val="none"/>
              </w:rPr>
            </w:pPr>
          </w:p>
        </w:tc>
      </w:tr>
      <w:tr w14:paraId="10AC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4FC588E6">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62DEB0B1">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7071B6C1">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F142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经费运行率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8A15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91FA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3052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82FE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A029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47" w:type="dxa"/>
            <w:tcBorders>
              <w:top w:val="single" w:color="000000" w:sz="4" w:space="0"/>
              <w:left w:val="single" w:color="000000" w:sz="4" w:space="0"/>
              <w:bottom w:val="nil"/>
              <w:right w:val="single" w:color="000000" w:sz="4" w:space="0"/>
            </w:tcBorders>
            <w:shd w:val="clear" w:color="auto" w:fill="auto"/>
            <w:vAlign w:val="center"/>
          </w:tcPr>
          <w:p w14:paraId="7A5FD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71" w:type="dxa"/>
            <w:tcBorders>
              <w:top w:val="single" w:color="000000" w:sz="4" w:space="0"/>
              <w:left w:val="single" w:color="000000" w:sz="4" w:space="0"/>
              <w:bottom w:val="nil"/>
              <w:right w:val="single" w:color="000000" w:sz="4" w:space="0"/>
            </w:tcBorders>
            <w:shd w:val="clear" w:color="auto" w:fill="auto"/>
            <w:vAlign w:val="center"/>
          </w:tcPr>
          <w:p w14:paraId="6BC91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07" w:type="dxa"/>
            <w:tcBorders>
              <w:top w:val="single" w:color="000000" w:sz="4" w:space="0"/>
              <w:left w:val="single" w:color="000000" w:sz="4" w:space="0"/>
              <w:bottom w:val="nil"/>
              <w:right w:val="single" w:color="000000" w:sz="4" w:space="0"/>
            </w:tcBorders>
            <w:shd w:val="clear" w:color="auto" w:fill="auto"/>
            <w:vAlign w:val="center"/>
          </w:tcPr>
          <w:p w14:paraId="401CCCBA">
            <w:pPr>
              <w:jc w:val="center"/>
              <w:rPr>
                <w:rFonts w:hint="eastAsia" w:ascii="宋体" w:hAnsi="宋体" w:eastAsia="宋体" w:cs="宋体"/>
                <w:i w:val="0"/>
                <w:iCs w:val="0"/>
                <w:color w:val="000000"/>
                <w:sz w:val="18"/>
                <w:szCs w:val="18"/>
                <w:u w:val="none"/>
              </w:rPr>
            </w:pPr>
          </w:p>
        </w:tc>
      </w:tr>
      <w:tr w14:paraId="4F49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0608D2A2">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0536937E">
            <w:pPr>
              <w:jc w:val="center"/>
              <w:rPr>
                <w:rFonts w:hint="eastAsia" w:ascii="宋体" w:hAnsi="宋体" w:eastAsia="宋体" w:cs="宋体"/>
                <w:i w:val="0"/>
                <w:iCs w:val="0"/>
                <w:color w:val="000000"/>
                <w:sz w:val="18"/>
                <w:szCs w:val="18"/>
                <w:u w:val="none"/>
              </w:rPr>
            </w:pP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5C800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FA87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协调时效</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1AA5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D057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7914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AC32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F138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47" w:type="dxa"/>
            <w:tcBorders>
              <w:top w:val="single" w:color="000000" w:sz="4" w:space="0"/>
              <w:left w:val="single" w:color="000000" w:sz="4" w:space="0"/>
              <w:bottom w:val="nil"/>
              <w:right w:val="single" w:color="000000" w:sz="4" w:space="0"/>
            </w:tcBorders>
            <w:shd w:val="clear" w:color="auto" w:fill="auto"/>
            <w:vAlign w:val="center"/>
          </w:tcPr>
          <w:p w14:paraId="59F96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71" w:type="dxa"/>
            <w:tcBorders>
              <w:top w:val="single" w:color="000000" w:sz="4" w:space="0"/>
              <w:left w:val="single" w:color="000000" w:sz="4" w:space="0"/>
              <w:bottom w:val="nil"/>
              <w:right w:val="single" w:color="000000" w:sz="4" w:space="0"/>
            </w:tcBorders>
            <w:shd w:val="clear" w:color="auto" w:fill="auto"/>
            <w:vAlign w:val="center"/>
          </w:tcPr>
          <w:p w14:paraId="37925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07" w:type="dxa"/>
            <w:tcBorders>
              <w:top w:val="single" w:color="000000" w:sz="4" w:space="0"/>
              <w:left w:val="single" w:color="000000" w:sz="4" w:space="0"/>
              <w:bottom w:val="nil"/>
              <w:right w:val="single" w:color="000000" w:sz="4" w:space="0"/>
            </w:tcBorders>
            <w:shd w:val="clear" w:color="auto" w:fill="auto"/>
            <w:vAlign w:val="center"/>
          </w:tcPr>
          <w:p w14:paraId="59E00AE4">
            <w:pPr>
              <w:jc w:val="center"/>
              <w:rPr>
                <w:rFonts w:hint="eastAsia" w:ascii="宋体" w:hAnsi="宋体" w:eastAsia="宋体" w:cs="宋体"/>
                <w:i w:val="0"/>
                <w:iCs w:val="0"/>
                <w:color w:val="000000"/>
                <w:sz w:val="18"/>
                <w:szCs w:val="18"/>
                <w:u w:val="none"/>
              </w:rPr>
            </w:pPr>
          </w:p>
        </w:tc>
      </w:tr>
      <w:tr w14:paraId="061C5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69180597">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3F05737D">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6DFB7C7A">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26DF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协调月份</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E350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AABF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1655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2688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AE04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647" w:type="dxa"/>
            <w:tcBorders>
              <w:top w:val="single" w:color="000000" w:sz="4" w:space="0"/>
              <w:left w:val="single" w:color="000000" w:sz="4" w:space="0"/>
              <w:bottom w:val="nil"/>
              <w:right w:val="single" w:color="000000" w:sz="4" w:space="0"/>
            </w:tcBorders>
            <w:shd w:val="clear" w:color="auto" w:fill="auto"/>
            <w:vAlign w:val="center"/>
          </w:tcPr>
          <w:p w14:paraId="6A208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71" w:type="dxa"/>
            <w:tcBorders>
              <w:top w:val="single" w:color="000000" w:sz="4" w:space="0"/>
              <w:left w:val="single" w:color="000000" w:sz="4" w:space="0"/>
              <w:bottom w:val="nil"/>
              <w:right w:val="single" w:color="000000" w:sz="4" w:space="0"/>
            </w:tcBorders>
            <w:shd w:val="clear" w:color="auto" w:fill="auto"/>
            <w:vAlign w:val="center"/>
          </w:tcPr>
          <w:p w14:paraId="5D2C8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07" w:type="dxa"/>
            <w:tcBorders>
              <w:top w:val="single" w:color="000000" w:sz="4" w:space="0"/>
              <w:left w:val="single" w:color="000000" w:sz="4" w:space="0"/>
              <w:bottom w:val="nil"/>
              <w:right w:val="single" w:color="000000" w:sz="4" w:space="0"/>
            </w:tcBorders>
            <w:shd w:val="clear" w:color="auto" w:fill="auto"/>
            <w:vAlign w:val="center"/>
          </w:tcPr>
          <w:p w14:paraId="453B6FB1">
            <w:pPr>
              <w:jc w:val="center"/>
              <w:rPr>
                <w:rFonts w:hint="eastAsia" w:ascii="宋体" w:hAnsi="宋体" w:eastAsia="宋体" w:cs="宋体"/>
                <w:i w:val="0"/>
                <w:iCs w:val="0"/>
                <w:color w:val="000000"/>
                <w:sz w:val="18"/>
                <w:szCs w:val="18"/>
                <w:u w:val="none"/>
              </w:rPr>
            </w:pPr>
          </w:p>
        </w:tc>
      </w:tr>
      <w:tr w14:paraId="5B989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012208DE">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1123EF8C">
            <w:pPr>
              <w:jc w:val="center"/>
              <w:rPr>
                <w:rFonts w:hint="eastAsia" w:ascii="宋体" w:hAnsi="宋体" w:eastAsia="宋体" w:cs="宋体"/>
                <w:i w:val="0"/>
                <w:iCs w:val="0"/>
                <w:color w:val="000000"/>
                <w:sz w:val="18"/>
                <w:szCs w:val="18"/>
                <w:u w:val="none"/>
              </w:rPr>
            </w:pP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161F9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296A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口岸工作经费</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7AFF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F464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5D49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C2F4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69AB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47" w:type="dxa"/>
            <w:tcBorders>
              <w:top w:val="single" w:color="000000" w:sz="4" w:space="0"/>
              <w:left w:val="single" w:color="000000" w:sz="4" w:space="0"/>
              <w:bottom w:val="nil"/>
              <w:right w:val="single" w:color="000000" w:sz="4" w:space="0"/>
            </w:tcBorders>
            <w:shd w:val="clear" w:color="auto" w:fill="auto"/>
            <w:vAlign w:val="center"/>
          </w:tcPr>
          <w:p w14:paraId="7F4E4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71" w:type="dxa"/>
            <w:tcBorders>
              <w:top w:val="single" w:color="000000" w:sz="4" w:space="0"/>
              <w:left w:val="single" w:color="000000" w:sz="4" w:space="0"/>
              <w:bottom w:val="nil"/>
              <w:right w:val="single" w:color="000000" w:sz="4" w:space="0"/>
            </w:tcBorders>
            <w:shd w:val="clear" w:color="auto" w:fill="auto"/>
            <w:vAlign w:val="center"/>
          </w:tcPr>
          <w:p w14:paraId="4319A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07" w:type="dxa"/>
            <w:tcBorders>
              <w:top w:val="single" w:color="000000" w:sz="4" w:space="0"/>
              <w:left w:val="single" w:color="000000" w:sz="4" w:space="0"/>
              <w:bottom w:val="nil"/>
              <w:right w:val="single" w:color="000000" w:sz="4" w:space="0"/>
            </w:tcBorders>
            <w:shd w:val="clear" w:color="auto" w:fill="auto"/>
            <w:vAlign w:val="center"/>
          </w:tcPr>
          <w:p w14:paraId="6C3E330D">
            <w:pPr>
              <w:jc w:val="center"/>
              <w:rPr>
                <w:rFonts w:hint="eastAsia" w:ascii="宋体" w:hAnsi="宋体" w:eastAsia="宋体" w:cs="宋体"/>
                <w:i w:val="0"/>
                <w:iCs w:val="0"/>
                <w:color w:val="000000"/>
                <w:sz w:val="18"/>
                <w:szCs w:val="18"/>
                <w:u w:val="none"/>
              </w:rPr>
            </w:pPr>
          </w:p>
        </w:tc>
      </w:tr>
      <w:tr w14:paraId="49FB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3B12E10B">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3BA30CCA">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37CDCA46">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2FD4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跨境铁路跑办经费</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248C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217F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054A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0688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F3C5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47" w:type="dxa"/>
            <w:tcBorders>
              <w:top w:val="single" w:color="000000" w:sz="4" w:space="0"/>
              <w:left w:val="single" w:color="000000" w:sz="4" w:space="0"/>
              <w:bottom w:val="nil"/>
              <w:right w:val="single" w:color="000000" w:sz="4" w:space="0"/>
            </w:tcBorders>
            <w:shd w:val="clear" w:color="auto" w:fill="auto"/>
            <w:vAlign w:val="center"/>
          </w:tcPr>
          <w:p w14:paraId="4A3F6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71" w:type="dxa"/>
            <w:tcBorders>
              <w:top w:val="single" w:color="000000" w:sz="4" w:space="0"/>
              <w:left w:val="single" w:color="000000" w:sz="4" w:space="0"/>
              <w:bottom w:val="nil"/>
              <w:right w:val="single" w:color="000000" w:sz="4" w:space="0"/>
            </w:tcBorders>
            <w:shd w:val="clear" w:color="auto" w:fill="auto"/>
            <w:vAlign w:val="center"/>
          </w:tcPr>
          <w:p w14:paraId="02921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07" w:type="dxa"/>
            <w:tcBorders>
              <w:top w:val="single" w:color="000000" w:sz="4" w:space="0"/>
              <w:left w:val="single" w:color="000000" w:sz="4" w:space="0"/>
              <w:bottom w:val="nil"/>
              <w:right w:val="single" w:color="000000" w:sz="4" w:space="0"/>
            </w:tcBorders>
            <w:shd w:val="clear" w:color="auto" w:fill="auto"/>
            <w:vAlign w:val="center"/>
          </w:tcPr>
          <w:p w14:paraId="752990B5">
            <w:pPr>
              <w:jc w:val="center"/>
              <w:rPr>
                <w:rFonts w:hint="eastAsia" w:ascii="宋体" w:hAnsi="宋体" w:eastAsia="宋体" w:cs="宋体"/>
                <w:i w:val="0"/>
                <w:iCs w:val="0"/>
                <w:color w:val="000000"/>
                <w:sz w:val="18"/>
                <w:szCs w:val="18"/>
                <w:u w:val="none"/>
              </w:rPr>
            </w:pPr>
          </w:p>
        </w:tc>
      </w:tr>
      <w:tr w14:paraId="4995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193229CF">
            <w:pPr>
              <w:jc w:val="center"/>
              <w:rPr>
                <w:rFonts w:hint="eastAsia" w:ascii="宋体" w:hAnsi="宋体" w:eastAsia="宋体" w:cs="宋体"/>
                <w:i w:val="0"/>
                <w:iCs w:val="0"/>
                <w:color w:val="000000"/>
                <w:sz w:val="18"/>
                <w:szCs w:val="18"/>
                <w:u w:val="none"/>
              </w:rPr>
            </w:pP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70498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82C7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3602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推动满都拉至杭吉口岸跨境铁路连接线项目</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7695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9FF9EF9">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B074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持续发展</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A598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持续发展</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FF8893E">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nil"/>
              <w:right w:val="single" w:color="000000" w:sz="4" w:space="0"/>
            </w:tcBorders>
            <w:shd w:val="clear" w:color="auto" w:fill="auto"/>
            <w:vAlign w:val="center"/>
          </w:tcPr>
          <w:p w14:paraId="6AD24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71" w:type="dxa"/>
            <w:tcBorders>
              <w:top w:val="single" w:color="000000" w:sz="4" w:space="0"/>
              <w:left w:val="single" w:color="000000" w:sz="4" w:space="0"/>
              <w:bottom w:val="nil"/>
              <w:right w:val="single" w:color="000000" w:sz="4" w:space="0"/>
            </w:tcBorders>
            <w:shd w:val="clear" w:color="auto" w:fill="auto"/>
            <w:vAlign w:val="center"/>
          </w:tcPr>
          <w:p w14:paraId="50879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7" w:type="dxa"/>
            <w:tcBorders>
              <w:top w:val="single" w:color="000000" w:sz="4" w:space="0"/>
              <w:left w:val="single" w:color="000000" w:sz="4" w:space="0"/>
              <w:bottom w:val="nil"/>
              <w:right w:val="single" w:color="000000" w:sz="4" w:space="0"/>
            </w:tcBorders>
            <w:shd w:val="clear" w:color="auto" w:fill="auto"/>
            <w:vAlign w:val="center"/>
          </w:tcPr>
          <w:p w14:paraId="74B8A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跨境铁路属国家事权，跑办难度较大，短时间难见成效，计划加大跑办力度</w:t>
            </w:r>
          </w:p>
        </w:tc>
      </w:tr>
      <w:tr w14:paraId="0E4C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48BCB86E">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558B7A04">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CF07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3CFC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推动口岸发展</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8D3C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CDA939E">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8E90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持续发展</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BB16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持续发展</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7B2282E">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nil"/>
              <w:right w:val="single" w:color="000000" w:sz="4" w:space="0"/>
            </w:tcBorders>
            <w:shd w:val="clear" w:color="auto" w:fill="auto"/>
            <w:vAlign w:val="center"/>
          </w:tcPr>
          <w:p w14:paraId="11504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71" w:type="dxa"/>
            <w:tcBorders>
              <w:top w:val="single" w:color="000000" w:sz="4" w:space="0"/>
              <w:left w:val="single" w:color="000000" w:sz="4" w:space="0"/>
              <w:bottom w:val="nil"/>
              <w:right w:val="single" w:color="000000" w:sz="4" w:space="0"/>
            </w:tcBorders>
            <w:shd w:val="clear" w:color="auto" w:fill="auto"/>
            <w:vAlign w:val="center"/>
          </w:tcPr>
          <w:p w14:paraId="77307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07" w:type="dxa"/>
            <w:tcBorders>
              <w:top w:val="single" w:color="000000" w:sz="4" w:space="0"/>
              <w:left w:val="single" w:color="000000" w:sz="4" w:space="0"/>
              <w:bottom w:val="nil"/>
              <w:right w:val="single" w:color="000000" w:sz="4" w:space="0"/>
            </w:tcBorders>
            <w:shd w:val="clear" w:color="auto" w:fill="auto"/>
            <w:vAlign w:val="center"/>
          </w:tcPr>
          <w:p w14:paraId="4AA7F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跨境铁路属国家事权，跑办难度较大，短时间难见成效，计划加大跑办力度，推动口岸发展</w:t>
            </w:r>
          </w:p>
        </w:tc>
      </w:tr>
      <w:tr w14:paraId="1DDA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264E57F9">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F3DD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A47E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46E4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5E45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E315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CBA3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2140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C073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47" w:type="dxa"/>
            <w:tcBorders>
              <w:top w:val="single" w:color="000000" w:sz="4" w:space="0"/>
              <w:left w:val="single" w:color="000000" w:sz="4" w:space="0"/>
              <w:bottom w:val="nil"/>
              <w:right w:val="single" w:color="000000" w:sz="4" w:space="0"/>
            </w:tcBorders>
            <w:shd w:val="clear" w:color="auto" w:fill="auto"/>
            <w:vAlign w:val="center"/>
          </w:tcPr>
          <w:p w14:paraId="6BCB4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71" w:type="dxa"/>
            <w:tcBorders>
              <w:top w:val="single" w:color="000000" w:sz="4" w:space="0"/>
              <w:left w:val="single" w:color="000000" w:sz="4" w:space="0"/>
              <w:bottom w:val="nil"/>
              <w:right w:val="single" w:color="000000" w:sz="4" w:space="0"/>
            </w:tcBorders>
            <w:shd w:val="clear" w:color="auto" w:fill="auto"/>
            <w:vAlign w:val="center"/>
          </w:tcPr>
          <w:p w14:paraId="7D37D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7" w:type="dxa"/>
            <w:tcBorders>
              <w:top w:val="single" w:color="000000" w:sz="4" w:space="0"/>
              <w:left w:val="single" w:color="000000" w:sz="4" w:space="0"/>
              <w:bottom w:val="nil"/>
              <w:right w:val="single" w:color="000000" w:sz="4" w:space="0"/>
            </w:tcBorders>
            <w:shd w:val="clear" w:color="auto" w:fill="auto"/>
            <w:vAlign w:val="center"/>
          </w:tcPr>
          <w:p w14:paraId="03E536E3">
            <w:pPr>
              <w:jc w:val="center"/>
              <w:rPr>
                <w:rFonts w:hint="eastAsia" w:ascii="宋体" w:hAnsi="宋体" w:eastAsia="宋体" w:cs="宋体"/>
                <w:i w:val="0"/>
                <w:iCs w:val="0"/>
                <w:color w:val="000000"/>
                <w:sz w:val="18"/>
                <w:szCs w:val="18"/>
                <w:u w:val="none"/>
              </w:rPr>
            </w:pPr>
          </w:p>
        </w:tc>
      </w:tr>
      <w:tr w14:paraId="6407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B37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2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C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83.38</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247E">
            <w:pPr>
              <w:jc w:val="center"/>
              <w:rPr>
                <w:rFonts w:hint="eastAsia" w:ascii="宋体" w:hAnsi="宋体" w:eastAsia="宋体" w:cs="宋体"/>
                <w:i w:val="0"/>
                <w:iCs w:val="0"/>
                <w:color w:val="000000"/>
                <w:sz w:val="18"/>
                <w:szCs w:val="18"/>
                <w:u w:val="none"/>
              </w:rPr>
            </w:pPr>
          </w:p>
        </w:tc>
      </w:tr>
    </w:tbl>
    <w:p w14:paraId="40C824DD">
      <w:pPr>
        <w:widowControl/>
        <w:spacing w:before="240" w:after="240"/>
        <w:ind w:firstLine="540" w:firstLineChars="200"/>
        <w:rPr>
          <w:rFonts w:ascii="Times New Roman" w:hAnsi="Times New Roman" w:eastAsia="Times New Roman" w:cs="Times New Roman"/>
          <w:kern w:val="0"/>
          <w:sz w:val="24"/>
          <w:highlight w:val="none"/>
        </w:rPr>
      </w:pPr>
      <w:r>
        <w:rPr>
          <w:rFonts w:hint="eastAsia" w:ascii="fang_song_gb2312" w:hAnsi="fang_song_gb2312" w:cs="fang_song_gb2312"/>
          <w:kern w:val="0"/>
          <w:sz w:val="27"/>
          <w:szCs w:val="27"/>
          <w:highlight w:val="none"/>
          <w:lang w:val="en-US" w:eastAsia="zh-CN"/>
        </w:rPr>
        <w:t>4</w:t>
      </w:r>
      <w:r>
        <w:rPr>
          <w:rFonts w:hint="eastAsia" w:ascii="times_new_roman" w:hAnsi="times_new_roman" w:eastAsia="宋体" w:cs="times_new_roman"/>
          <w:kern w:val="0"/>
          <w:sz w:val="27"/>
          <w:szCs w:val="27"/>
          <w:highlight w:val="none"/>
          <w:u w:val="none"/>
          <w:lang w:eastAsia="zh-CN"/>
        </w:rPr>
        <w:t>航空口岸后勤保障经费</w:t>
      </w:r>
      <w:r>
        <w:rPr>
          <w:rFonts w:hint="eastAsia" w:ascii="times_new_roman" w:hAnsi="times_new_roman" w:eastAsia="times_new_roman" w:cs="times_new_roman"/>
          <w:kern w:val="0"/>
          <w:sz w:val="27"/>
          <w:szCs w:val="27"/>
          <w:highlight w:val="none"/>
          <w:u w:val="none"/>
        </w:rPr>
        <w:t>项目工作经费</w:t>
      </w:r>
      <w:r>
        <w:rPr>
          <w:rFonts w:ascii="fang_song_gb2312" w:hAnsi="fang_song_gb2312" w:eastAsia="fang_song_gb2312" w:cs="fang_song_gb2312"/>
          <w:kern w:val="0"/>
          <w:sz w:val="27"/>
          <w:szCs w:val="27"/>
          <w:highlight w:val="none"/>
          <w:u w:val="none"/>
        </w:rPr>
        <w:t>项目自评综述</w:t>
      </w:r>
      <w:r>
        <w:rPr>
          <w:rFonts w:ascii="fang_song_gb2312" w:hAnsi="fang_song_gb2312" w:eastAsia="fang_song_gb2312" w:cs="fang_song_gb2312"/>
          <w:kern w:val="0"/>
          <w:sz w:val="27"/>
          <w:szCs w:val="27"/>
          <w:u w:val="none"/>
        </w:rPr>
        <w:t>：根据年初设定的绩效目标，项目自评得分</w:t>
      </w:r>
      <w:r>
        <w:rPr>
          <w:rFonts w:hint="eastAsia" w:ascii="times_new_roman" w:hAnsi="times_new_roman" w:cs="times_new_roman"/>
          <w:kern w:val="0"/>
          <w:sz w:val="27"/>
          <w:szCs w:val="27"/>
          <w:u w:val="none"/>
          <w:lang w:val="en-US" w:eastAsia="zh-CN"/>
        </w:rPr>
        <w:t>93</w:t>
      </w:r>
      <w:r>
        <w:rPr>
          <w:rFonts w:ascii="fang_song_gb2312" w:hAnsi="fang_song_gb2312" w:eastAsia="fang_song_gb2312" w:cs="fang_song_gb2312"/>
          <w:kern w:val="0"/>
          <w:sz w:val="27"/>
          <w:szCs w:val="27"/>
          <w:u w:val="none"/>
        </w:rPr>
        <w:t>分。全年预算数为</w:t>
      </w:r>
      <w:r>
        <w:rPr>
          <w:rFonts w:hint="eastAsia" w:ascii="times_new_roman" w:hAnsi="times_new_roman" w:cs="times_new_roman"/>
          <w:kern w:val="0"/>
          <w:sz w:val="27"/>
          <w:szCs w:val="27"/>
          <w:u w:val="none"/>
          <w:lang w:val="en-US" w:eastAsia="zh-CN"/>
        </w:rPr>
        <w:t>100.00</w:t>
      </w:r>
      <w:r>
        <w:rPr>
          <w:rFonts w:ascii="fang_song_gb2312" w:hAnsi="fang_song_gb2312" w:eastAsia="fang_song_gb2312" w:cs="fang_song_gb2312"/>
          <w:kern w:val="0"/>
          <w:sz w:val="27"/>
          <w:szCs w:val="27"/>
          <w:u w:val="none"/>
        </w:rPr>
        <w:t>万元，执行数为</w:t>
      </w:r>
      <w:r>
        <w:rPr>
          <w:rFonts w:hint="eastAsia" w:ascii="fang_song_gb2312" w:hAnsi="fang_song_gb2312" w:eastAsia="宋体" w:cs="fang_song_gb2312"/>
          <w:kern w:val="0"/>
          <w:sz w:val="27"/>
          <w:szCs w:val="27"/>
          <w:u w:val="none"/>
          <w:lang w:val="en-US" w:eastAsia="zh-CN"/>
        </w:rPr>
        <w:t>80</w:t>
      </w:r>
      <w:r>
        <w:rPr>
          <w:rFonts w:hint="eastAsia" w:ascii="times_new_roman" w:hAnsi="times_new_roman" w:cs="times_new_roman"/>
          <w:kern w:val="0"/>
          <w:sz w:val="27"/>
          <w:szCs w:val="27"/>
          <w:u w:val="none"/>
          <w:lang w:val="en-US" w:eastAsia="zh-CN"/>
        </w:rPr>
        <w:t>.00</w:t>
      </w:r>
      <w:r>
        <w:rPr>
          <w:rFonts w:ascii="fang_song_gb2312" w:hAnsi="fang_song_gb2312" w:eastAsia="fang_song_gb2312" w:cs="fang_song_gb2312"/>
          <w:kern w:val="0"/>
          <w:sz w:val="27"/>
          <w:szCs w:val="27"/>
          <w:u w:val="none"/>
        </w:rPr>
        <w:t>万元，完成预算的</w:t>
      </w:r>
      <w:r>
        <w:rPr>
          <w:rFonts w:hint="eastAsia" w:ascii="times_new_roman" w:hAnsi="times_new_roman" w:cs="times_new_roman"/>
          <w:kern w:val="0"/>
          <w:sz w:val="27"/>
          <w:szCs w:val="27"/>
          <w:u w:val="none"/>
          <w:lang w:val="en-US" w:eastAsia="zh-CN"/>
        </w:rPr>
        <w:t>80.00</w:t>
      </w:r>
      <w:r>
        <w:rPr>
          <w:rFonts w:ascii="fang_song_gb2312" w:hAnsi="fang_song_gb2312" w:eastAsia="fang_song_gb2312" w:cs="fang_song_gb2312"/>
          <w:kern w:val="0"/>
          <w:sz w:val="27"/>
          <w:szCs w:val="27"/>
          <w:u w:val="none"/>
        </w:rPr>
        <w:t>%。</w:t>
      </w:r>
      <w:r>
        <w:rPr>
          <w:rFonts w:ascii="fang_song_gb2312" w:hAnsi="fang_song_gb2312" w:eastAsia="fang_song_gb2312" w:cs="fang_song_gb2312"/>
          <w:kern w:val="0"/>
          <w:sz w:val="27"/>
          <w:szCs w:val="27"/>
          <w:highlight w:val="none"/>
          <w:u w:val="none"/>
        </w:rPr>
        <w:t>项目绩效目标完成情况：</w:t>
      </w:r>
      <w:r>
        <w:rPr>
          <w:rFonts w:hint="eastAsia" w:ascii="fang_song_gb2312" w:hAnsi="fang_song_gb2312" w:eastAsia="fang_song_gb2312" w:cs="fang_song_gb2312"/>
          <w:kern w:val="0"/>
          <w:sz w:val="27"/>
          <w:szCs w:val="27"/>
          <w:highlight w:val="none"/>
          <w:u w:val="none"/>
        </w:rPr>
        <w:t>航空口岸后勤保障经费</w:t>
      </w:r>
      <w:r>
        <w:rPr>
          <w:rFonts w:hint="eastAsia" w:ascii="fang_song_gb2312" w:hAnsi="fang_song_gb2312" w:eastAsia="宋体" w:cs="fang_song_gb2312"/>
          <w:kern w:val="0"/>
          <w:sz w:val="27"/>
          <w:szCs w:val="27"/>
          <w:highlight w:val="none"/>
          <w:u w:val="none"/>
          <w:lang w:val="en-US" w:eastAsia="zh-CN"/>
        </w:rPr>
        <w:t>保障16人工作正常开展，</w:t>
      </w:r>
      <w:r>
        <w:rPr>
          <w:rFonts w:hint="eastAsia" w:ascii="fang_song_gb2312" w:hAnsi="fang_song_gb2312" w:eastAsia="fang_song_gb2312" w:cs="fang_song_gb2312"/>
          <w:kern w:val="0"/>
          <w:sz w:val="27"/>
          <w:szCs w:val="27"/>
          <w:highlight w:val="none"/>
          <w:u w:val="none"/>
        </w:rPr>
        <w:t>截止2023年末，全年执行13.83万元</w:t>
      </w:r>
      <w:r>
        <w:rPr>
          <w:rFonts w:ascii="fang_song_gb2312" w:hAnsi="fang_song_gb2312" w:eastAsia="fang_song_gb2312" w:cs="fang_song_gb2312"/>
          <w:kern w:val="0"/>
          <w:sz w:val="27"/>
          <w:szCs w:val="27"/>
          <w:highlight w:val="none"/>
        </w:rPr>
        <w:t>。发现的主要问题及原因：</w:t>
      </w:r>
      <w:r>
        <w:rPr>
          <w:rFonts w:hint="eastAsia" w:ascii="fang_song_gb2312" w:hAnsi="fang_song_gb2312" w:cs="fang_song_gb2312"/>
          <w:kern w:val="0"/>
          <w:sz w:val="27"/>
          <w:szCs w:val="27"/>
          <w:highlight w:val="none"/>
          <w:lang w:val="en-US" w:eastAsia="zh-CN"/>
        </w:rPr>
        <w:t>效益指标未达到预期目标</w:t>
      </w:r>
      <w:r>
        <w:rPr>
          <w:rFonts w:ascii="fang_song_gb2312" w:hAnsi="fang_song_gb2312" w:eastAsia="fang_song_gb2312" w:cs="fang_song_gb2312"/>
          <w:kern w:val="0"/>
          <w:sz w:val="27"/>
          <w:szCs w:val="27"/>
          <w:highlight w:val="none"/>
        </w:rPr>
        <w:t>。下一步改进措施：</w:t>
      </w:r>
      <w:r>
        <w:rPr>
          <w:rFonts w:hint="eastAsia" w:ascii="fang_song_gb2312" w:hAnsi="fang_song_gb2312" w:eastAsia="宋体" w:cs="fang_song_gb2312"/>
          <w:kern w:val="0"/>
          <w:sz w:val="27"/>
          <w:szCs w:val="27"/>
          <w:highlight w:val="none"/>
          <w:lang w:val="en-US" w:eastAsia="zh-CN"/>
        </w:rPr>
        <w:t>提高项目的完成效率</w:t>
      </w:r>
      <w:r>
        <w:rPr>
          <w:rFonts w:ascii="fang_song_gb2312" w:hAnsi="fang_song_gb2312" w:eastAsia="fang_song_gb2312" w:cs="fang_song_gb2312"/>
          <w:kern w:val="0"/>
          <w:sz w:val="27"/>
          <w:szCs w:val="27"/>
          <w:highlight w:val="none"/>
        </w:rPr>
        <w:t>。</w:t>
      </w:r>
    </w:p>
    <w:tbl>
      <w:tblPr>
        <w:tblStyle w:val="22"/>
        <w:tblW w:w="9915" w:type="dxa"/>
        <w:tblInd w:w="93" w:type="dxa"/>
        <w:tblLayout w:type="autofit"/>
        <w:tblCellMar>
          <w:top w:w="0" w:type="dxa"/>
          <w:left w:w="108" w:type="dxa"/>
          <w:bottom w:w="0" w:type="dxa"/>
          <w:right w:w="108" w:type="dxa"/>
        </w:tblCellMar>
      </w:tblPr>
      <w:tblGrid>
        <w:gridCol w:w="810"/>
        <w:gridCol w:w="810"/>
        <w:gridCol w:w="810"/>
        <w:gridCol w:w="810"/>
        <w:gridCol w:w="810"/>
        <w:gridCol w:w="810"/>
        <w:gridCol w:w="810"/>
        <w:gridCol w:w="810"/>
        <w:gridCol w:w="810"/>
        <w:gridCol w:w="810"/>
        <w:gridCol w:w="810"/>
        <w:gridCol w:w="1005"/>
      </w:tblGrid>
      <w:tr w14:paraId="4DD298CD">
        <w:tblPrEx>
          <w:tblCellMar>
            <w:top w:w="0" w:type="dxa"/>
            <w:left w:w="108" w:type="dxa"/>
            <w:bottom w:w="0" w:type="dxa"/>
            <w:right w:w="108" w:type="dxa"/>
          </w:tblCellMar>
        </w:tblPrEx>
        <w:trPr>
          <w:trHeight w:val="960" w:hRule="atLeast"/>
        </w:trPr>
        <w:tc>
          <w:tcPr>
            <w:tcW w:w="991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C03B92A">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lang w:bidi="ar"/>
              </w:rPr>
              <w:t>项目支出绩效自评表</w:t>
            </w:r>
            <w:r>
              <w:rPr>
                <w:rFonts w:hint="eastAsia" w:ascii="宋体" w:hAnsi="宋体" w:cs="宋体"/>
                <w:b/>
                <w:bCs/>
                <w:color w:val="000000"/>
                <w:kern w:val="0"/>
                <w:sz w:val="40"/>
                <w:szCs w:val="40"/>
                <w:lang w:bidi="ar"/>
              </w:rPr>
              <w:br w:type="textWrapping"/>
            </w:r>
            <w:r>
              <w:rPr>
                <w:rFonts w:hint="eastAsia" w:ascii="宋体" w:hAnsi="宋体" w:cs="宋体"/>
                <w:b/>
                <w:bCs/>
                <w:color w:val="000000"/>
                <w:kern w:val="0"/>
                <w:sz w:val="40"/>
                <w:szCs w:val="40"/>
                <w:lang w:bidi="ar"/>
              </w:rPr>
              <w:t>(2023年度）</w:t>
            </w:r>
          </w:p>
        </w:tc>
      </w:tr>
      <w:tr w14:paraId="036551A6">
        <w:tblPrEx>
          <w:tblCellMar>
            <w:top w:w="0" w:type="dxa"/>
            <w:left w:w="108" w:type="dxa"/>
            <w:bottom w:w="0" w:type="dxa"/>
            <w:right w:w="108" w:type="dxa"/>
          </w:tblCellMar>
        </w:tblPrEx>
        <w:trPr>
          <w:trHeight w:val="380"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89E5D">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w:t>
            </w:r>
          </w:p>
        </w:tc>
        <w:tc>
          <w:tcPr>
            <w:tcW w:w="82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106CC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航空口岸后勤保障经费</w:t>
            </w:r>
          </w:p>
        </w:tc>
      </w:tr>
      <w:tr w14:paraId="6E451586">
        <w:tblPrEx>
          <w:tblCellMar>
            <w:top w:w="0" w:type="dxa"/>
            <w:left w:w="108" w:type="dxa"/>
            <w:bottom w:w="0" w:type="dxa"/>
            <w:right w:w="108" w:type="dxa"/>
          </w:tblCellMar>
        </w:tblPrEx>
        <w:trPr>
          <w:trHeight w:val="380"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A9151">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主管部门</w:t>
            </w:r>
          </w:p>
        </w:tc>
        <w:tc>
          <w:tcPr>
            <w:tcW w:w="3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95A2A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包头市商务局（部门）</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6ED71">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实施单位</w:t>
            </w:r>
          </w:p>
        </w:tc>
        <w:tc>
          <w:tcPr>
            <w:tcW w:w="3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0D669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包头市口岸服务中心</w:t>
            </w:r>
          </w:p>
        </w:tc>
      </w:tr>
      <w:tr w14:paraId="70BD77E4">
        <w:tblPrEx>
          <w:tblCellMar>
            <w:top w:w="0" w:type="dxa"/>
            <w:left w:w="108" w:type="dxa"/>
            <w:bottom w:w="0" w:type="dxa"/>
            <w:right w:w="108" w:type="dxa"/>
          </w:tblCellMar>
        </w:tblPrEx>
        <w:trPr>
          <w:trHeight w:val="380" w:hRule="atLeast"/>
        </w:trPr>
        <w:tc>
          <w:tcPr>
            <w:tcW w:w="16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EFA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项目资金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A1E2">
            <w:pPr>
              <w:rPr>
                <w:rFonts w:ascii="宋体" w:hAnsi="宋体" w:cs="宋体"/>
                <w:color w:val="00000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64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年初预算数</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3F8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全年预算数</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89F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全年执行数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2F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805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执行率（%）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80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r>
      <w:tr w14:paraId="2E837828">
        <w:tblPrEx>
          <w:tblCellMar>
            <w:top w:w="0" w:type="dxa"/>
            <w:left w:w="108" w:type="dxa"/>
            <w:bottom w:w="0" w:type="dxa"/>
            <w:right w:w="108" w:type="dxa"/>
          </w:tblCellMar>
        </w:tblPrEx>
        <w:trPr>
          <w:trHeight w:val="380" w:hRule="atLeast"/>
        </w:trPr>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5FF61">
            <w:pPr>
              <w:jc w:val="center"/>
              <w:rPr>
                <w:rFonts w:ascii="宋体" w:hAnsi="宋体" w:cs="宋体"/>
                <w:color w:val="00000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A3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年度资金总额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4CB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3F4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E10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53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388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6E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r>
      <w:tr w14:paraId="0F8ECEF4">
        <w:tblPrEx>
          <w:tblCellMar>
            <w:top w:w="0" w:type="dxa"/>
            <w:left w:w="108" w:type="dxa"/>
            <w:bottom w:w="0" w:type="dxa"/>
            <w:right w:w="108" w:type="dxa"/>
          </w:tblCellMar>
        </w:tblPrEx>
        <w:trPr>
          <w:trHeight w:val="380" w:hRule="atLeast"/>
        </w:trPr>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F6968">
            <w:pPr>
              <w:jc w:val="center"/>
              <w:rPr>
                <w:rFonts w:ascii="宋体" w:hAnsi="宋体" w:cs="宋体"/>
                <w:color w:val="00000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4E9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其中：财政拨款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29B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577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0D6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1ECF">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DB2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9B94">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3824814C">
        <w:tblPrEx>
          <w:tblCellMar>
            <w:top w:w="0" w:type="dxa"/>
            <w:left w:w="108" w:type="dxa"/>
            <w:bottom w:w="0" w:type="dxa"/>
            <w:right w:w="108" w:type="dxa"/>
          </w:tblCellMar>
        </w:tblPrEx>
        <w:trPr>
          <w:trHeight w:val="380" w:hRule="atLeast"/>
        </w:trPr>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DF36A">
            <w:pPr>
              <w:jc w:val="center"/>
              <w:rPr>
                <w:rFonts w:ascii="宋体" w:hAnsi="宋体" w:cs="宋体"/>
                <w:color w:val="00000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3B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上年结转资金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D83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B9DB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82F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9673">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CC70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CEE8">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7EB44490">
        <w:tblPrEx>
          <w:tblCellMar>
            <w:top w:w="0" w:type="dxa"/>
            <w:left w:w="108" w:type="dxa"/>
            <w:bottom w:w="0" w:type="dxa"/>
            <w:right w:w="108" w:type="dxa"/>
          </w:tblCellMar>
        </w:tblPrEx>
        <w:trPr>
          <w:trHeight w:val="380" w:hRule="atLeast"/>
        </w:trPr>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ADE23">
            <w:pPr>
              <w:jc w:val="center"/>
              <w:rPr>
                <w:rFonts w:ascii="宋体" w:hAnsi="宋体" w:cs="宋体"/>
                <w:color w:val="00000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BF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301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7AA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246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DD72">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105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AEB5">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279FC936">
        <w:tblPrEx>
          <w:tblCellMar>
            <w:top w:w="0" w:type="dxa"/>
            <w:left w:w="108" w:type="dxa"/>
            <w:bottom w:w="0" w:type="dxa"/>
            <w:right w:w="108" w:type="dxa"/>
          </w:tblCellMar>
        </w:tblPrEx>
        <w:trPr>
          <w:trHeight w:val="380" w:hRule="atLeast"/>
        </w:trPr>
        <w:tc>
          <w:tcPr>
            <w:tcW w:w="16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4D9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年度总体目标</w:t>
            </w:r>
          </w:p>
        </w:tc>
        <w:tc>
          <w:tcPr>
            <w:tcW w:w="4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93E7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预期目标</w:t>
            </w:r>
          </w:p>
        </w:tc>
        <w:tc>
          <w:tcPr>
            <w:tcW w:w="4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38A1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实际完成情况</w:t>
            </w:r>
          </w:p>
        </w:tc>
      </w:tr>
      <w:tr w14:paraId="748E0172">
        <w:tblPrEx>
          <w:tblCellMar>
            <w:top w:w="0" w:type="dxa"/>
            <w:left w:w="108" w:type="dxa"/>
            <w:bottom w:w="0" w:type="dxa"/>
            <w:right w:w="108" w:type="dxa"/>
          </w:tblCellMar>
        </w:tblPrEx>
        <w:trPr>
          <w:trHeight w:val="1120" w:hRule="atLeast"/>
        </w:trPr>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1781E">
            <w:pPr>
              <w:jc w:val="center"/>
              <w:rPr>
                <w:rFonts w:ascii="宋体" w:hAnsi="宋体" w:cs="宋体"/>
                <w:color w:val="000000"/>
                <w:sz w:val="18"/>
                <w:szCs w:val="18"/>
              </w:rPr>
            </w:pPr>
          </w:p>
        </w:tc>
        <w:tc>
          <w:tcPr>
            <w:tcW w:w="4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860D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通过聘用协勤人员，协助联检单位做好航空口岸后勤保障工作。</w:t>
            </w:r>
          </w:p>
        </w:tc>
        <w:tc>
          <w:tcPr>
            <w:tcW w:w="4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0EDB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截止2023年末，全年执行80万元。</w:t>
            </w:r>
          </w:p>
        </w:tc>
      </w:tr>
      <w:tr w14:paraId="1D6485A2">
        <w:tblPrEx>
          <w:tblCellMar>
            <w:top w:w="0" w:type="dxa"/>
            <w:left w:w="108" w:type="dxa"/>
            <w:bottom w:w="0" w:type="dxa"/>
            <w:right w:w="108" w:type="dxa"/>
          </w:tblCellMar>
        </w:tblPrEx>
        <w:trPr>
          <w:trHeight w:val="3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2F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BE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C1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二级指标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E7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1B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指标性质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3D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指标方向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CD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年度指标值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1B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38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计量单位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7A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591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BBE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偏差原因分析及改进措施</w:t>
            </w:r>
          </w:p>
        </w:tc>
      </w:tr>
      <w:tr w14:paraId="5846BF6D">
        <w:tblPrEx>
          <w:tblCellMar>
            <w:top w:w="0" w:type="dxa"/>
            <w:left w:w="108" w:type="dxa"/>
            <w:bottom w:w="0" w:type="dxa"/>
            <w:right w:w="108" w:type="dxa"/>
          </w:tblCellMar>
        </w:tblPrEx>
        <w:trPr>
          <w:trHeight w:val="840" w:hRule="atLeast"/>
        </w:trPr>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4D8E2B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29FADD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53B522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数量指标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687A8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协勤人员聘用数量</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C24A7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反向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48557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小于等于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295F2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793D6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A37E4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C96FB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7465A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1D4217EC">
            <w:pPr>
              <w:jc w:val="center"/>
              <w:rPr>
                <w:rFonts w:ascii="宋体" w:hAnsi="宋体" w:cs="宋体"/>
                <w:color w:val="000000"/>
                <w:sz w:val="18"/>
                <w:szCs w:val="18"/>
              </w:rPr>
            </w:pPr>
          </w:p>
        </w:tc>
      </w:tr>
      <w:tr w14:paraId="5FCACC03">
        <w:tblPrEx>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1B266E68">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238C6C9E">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185E785C">
            <w:pPr>
              <w:jc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2462E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每日工作人数</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24967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反向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0CE0A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小于等于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5B578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5D681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BC78D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D9176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B19BC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74B83CC0">
            <w:pPr>
              <w:jc w:val="center"/>
              <w:rPr>
                <w:rFonts w:ascii="宋体" w:hAnsi="宋体" w:cs="宋体"/>
                <w:color w:val="000000"/>
                <w:sz w:val="18"/>
                <w:szCs w:val="18"/>
              </w:rPr>
            </w:pPr>
          </w:p>
        </w:tc>
      </w:tr>
      <w:tr w14:paraId="190BE935">
        <w:tblPrEx>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471D3EFD">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5205EB8B">
            <w:pPr>
              <w:jc w:val="center"/>
              <w:rPr>
                <w:rFonts w:ascii="宋体" w:hAnsi="宋体" w:cs="宋体"/>
                <w:color w:val="000000"/>
                <w:sz w:val="18"/>
                <w:szCs w:val="18"/>
              </w:rPr>
            </w:pP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223081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质量指标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8647A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协勤人员旷工率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24A09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反向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63C76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小于等于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38B70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A9D7F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F00A8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8CA1E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C36D8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2B44D27F">
            <w:pPr>
              <w:jc w:val="center"/>
              <w:rPr>
                <w:rFonts w:ascii="宋体" w:hAnsi="宋体" w:cs="宋体"/>
                <w:color w:val="000000"/>
                <w:sz w:val="18"/>
                <w:szCs w:val="18"/>
              </w:rPr>
            </w:pPr>
          </w:p>
        </w:tc>
      </w:tr>
      <w:tr w14:paraId="08C91711">
        <w:tblPrEx>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1BB0D1A1">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05EADFB8">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2EEDA950">
            <w:pPr>
              <w:jc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53A54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协勤人员出勤率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7E60D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F619F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3DD7A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86009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6A989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6EFBA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5EDED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5EC0F5E3">
            <w:pPr>
              <w:jc w:val="center"/>
              <w:rPr>
                <w:rFonts w:ascii="宋体" w:hAnsi="宋体" w:cs="宋体"/>
                <w:color w:val="000000"/>
                <w:sz w:val="18"/>
                <w:szCs w:val="18"/>
              </w:rPr>
            </w:pPr>
          </w:p>
        </w:tc>
      </w:tr>
      <w:tr w14:paraId="77053DEE">
        <w:tblPrEx>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566946AA">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0CDC7CA8">
            <w:pPr>
              <w:jc w:val="center"/>
              <w:rPr>
                <w:rFonts w:ascii="宋体" w:hAnsi="宋体" w:cs="宋体"/>
                <w:color w:val="000000"/>
                <w:sz w:val="18"/>
                <w:szCs w:val="18"/>
              </w:rPr>
            </w:pP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38E07E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时效指标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6C41B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聘用人员服务期</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A11E8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AFC54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0152E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2023</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F23A3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2023</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C962A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60800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AF0E1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468064A3">
            <w:pPr>
              <w:jc w:val="center"/>
              <w:rPr>
                <w:rFonts w:ascii="宋体" w:hAnsi="宋体" w:cs="宋体"/>
                <w:color w:val="000000"/>
                <w:sz w:val="18"/>
                <w:szCs w:val="18"/>
              </w:rPr>
            </w:pPr>
          </w:p>
        </w:tc>
      </w:tr>
      <w:tr w14:paraId="7582507F">
        <w:tblPrEx>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6F46D30E">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61899616">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290B1D34">
            <w:pPr>
              <w:jc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F1950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聘用人员每周工作时长</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00F0F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4B890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27E59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63D08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8A997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小时</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0A760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87309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53543995">
            <w:pPr>
              <w:jc w:val="center"/>
              <w:rPr>
                <w:rFonts w:ascii="宋体" w:hAnsi="宋体" w:cs="宋体"/>
                <w:color w:val="000000"/>
                <w:sz w:val="18"/>
                <w:szCs w:val="18"/>
              </w:rPr>
            </w:pPr>
          </w:p>
        </w:tc>
      </w:tr>
      <w:tr w14:paraId="29F18EB9">
        <w:tblPrEx>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778EBDDB">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79E51660">
            <w:pPr>
              <w:jc w:val="center"/>
              <w:rPr>
                <w:rFonts w:ascii="宋体" w:hAnsi="宋体" w:cs="宋体"/>
                <w:color w:val="000000"/>
                <w:sz w:val="18"/>
                <w:szCs w:val="18"/>
              </w:rPr>
            </w:pP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273F99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成本指标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F1D72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聘用协勤人员单位成本</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DEC654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反向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FEB8C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小于等于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AAAC9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CD5D4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5C663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31945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2CE91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39235FE1">
            <w:pPr>
              <w:jc w:val="center"/>
              <w:rPr>
                <w:rFonts w:ascii="宋体" w:hAnsi="宋体" w:cs="宋体"/>
                <w:color w:val="000000"/>
                <w:sz w:val="18"/>
                <w:szCs w:val="18"/>
              </w:rPr>
            </w:pPr>
          </w:p>
        </w:tc>
      </w:tr>
      <w:tr w14:paraId="16BC72D1">
        <w:tblPrEx>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6AAD6E7F">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3A546A13">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5D29B6FE">
            <w:pPr>
              <w:jc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86D61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聘用协勤人员总体成本</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9D464E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反向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3F5D2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小于等于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9AFD4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57864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075EC8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E7953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4A3C3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5DD59008">
            <w:pPr>
              <w:jc w:val="center"/>
              <w:rPr>
                <w:rFonts w:ascii="宋体" w:hAnsi="宋体" w:cs="宋体"/>
                <w:color w:val="000000"/>
                <w:sz w:val="18"/>
                <w:szCs w:val="18"/>
              </w:rPr>
            </w:pPr>
          </w:p>
        </w:tc>
      </w:tr>
      <w:tr w14:paraId="7157634F">
        <w:tblPrEx>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30B38581">
            <w:pPr>
              <w:jc w:val="center"/>
              <w:rPr>
                <w:rFonts w:ascii="宋体" w:hAnsi="宋体" w:cs="宋体"/>
                <w:color w:val="000000"/>
                <w:sz w:val="18"/>
                <w:szCs w:val="18"/>
              </w:rPr>
            </w:pP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6F6587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效益指标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56826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社会效益</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01195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保障航空口岸正常运转</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641D3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93F6E4A">
            <w:pPr>
              <w:jc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86820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显著</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4B1E1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显著</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69BE49C">
            <w:pPr>
              <w:jc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33B0C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0F68A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139B9668">
            <w:pPr>
              <w:widowControl/>
              <w:jc w:val="center"/>
              <w:textAlignment w:val="center"/>
              <w:rPr>
                <w:rFonts w:ascii="宋体" w:hAnsi="宋体" w:cs="宋体"/>
                <w:color w:val="000000"/>
                <w:sz w:val="18"/>
                <w:szCs w:val="18"/>
              </w:rPr>
            </w:pPr>
          </w:p>
        </w:tc>
      </w:tr>
      <w:tr w14:paraId="1A732506">
        <w:tblPrEx>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04CE6D35">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4AE18AB3">
            <w:pPr>
              <w:jc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56D34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可持续影响</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44BFA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实现航空口岸发展</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0C3D4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3EB2D22">
            <w:pPr>
              <w:jc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D5374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显著</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9C03AB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显著</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277F98C">
            <w:pPr>
              <w:jc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53B15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ADB07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61902618">
            <w:pPr>
              <w:widowControl/>
              <w:jc w:val="center"/>
              <w:textAlignment w:val="center"/>
              <w:rPr>
                <w:rFonts w:ascii="宋体" w:hAnsi="宋体" w:cs="宋体"/>
                <w:color w:val="000000"/>
                <w:sz w:val="18"/>
                <w:szCs w:val="18"/>
              </w:rPr>
            </w:pPr>
          </w:p>
        </w:tc>
      </w:tr>
      <w:tr w14:paraId="37141D3E">
        <w:tblPrEx>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35EA7803">
            <w:pPr>
              <w:jc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9F95C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5818E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服务对象满意度</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88F11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群众满意度</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E5690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D7F24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93218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5314B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3B0DB4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FF952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5CA2B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711FC27C">
            <w:pPr>
              <w:jc w:val="center"/>
              <w:rPr>
                <w:rFonts w:ascii="宋体" w:hAnsi="宋体" w:cs="宋体"/>
                <w:color w:val="000000"/>
                <w:sz w:val="18"/>
                <w:szCs w:val="18"/>
              </w:rPr>
            </w:pPr>
          </w:p>
        </w:tc>
      </w:tr>
      <w:tr w14:paraId="5C3D4A5F">
        <w:tblPrEx>
          <w:tblCellMar>
            <w:top w:w="0" w:type="dxa"/>
            <w:left w:w="108" w:type="dxa"/>
            <w:bottom w:w="0" w:type="dxa"/>
            <w:right w:w="108" w:type="dxa"/>
          </w:tblCellMar>
        </w:tblPrEx>
        <w:trPr>
          <w:trHeight w:val="840" w:hRule="atLeast"/>
        </w:trPr>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7063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CA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45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3EBF">
            <w:pPr>
              <w:jc w:val="center"/>
              <w:rPr>
                <w:rFonts w:ascii="宋体" w:hAnsi="宋体" w:cs="宋体"/>
                <w:color w:val="000000"/>
                <w:sz w:val="18"/>
                <w:szCs w:val="18"/>
              </w:rPr>
            </w:pPr>
          </w:p>
        </w:tc>
      </w:tr>
    </w:tbl>
    <w:p w14:paraId="3610D47A">
      <w:pPr>
        <w:widowControl/>
        <w:numPr>
          <w:ilvl w:val="0"/>
          <w:numId w:val="3"/>
        </w:numPr>
        <w:spacing w:before="240" w:after="240"/>
        <w:ind w:firstLine="540" w:firstLineChars="200"/>
      </w:pPr>
      <w:r>
        <w:rPr>
          <w:rFonts w:hint="eastAsia" w:ascii="times_new_roman" w:hAnsi="times_new_roman" w:eastAsia="宋体" w:cs="times_new_roman"/>
          <w:kern w:val="0"/>
          <w:sz w:val="27"/>
          <w:szCs w:val="27"/>
          <w:highlight w:val="none"/>
          <w:u w:val="none"/>
          <w:lang w:eastAsia="zh-CN"/>
        </w:rPr>
        <w:t>满都拉口岸进境货运量奖补（口岸）</w:t>
      </w:r>
      <w:r>
        <w:rPr>
          <w:rFonts w:ascii="fang_song_gb2312" w:hAnsi="fang_song_gb2312" w:eastAsia="fang_song_gb2312" w:cs="fang_song_gb2312"/>
          <w:kern w:val="0"/>
          <w:sz w:val="27"/>
          <w:szCs w:val="27"/>
          <w:highlight w:val="none"/>
          <w:u w:val="none"/>
        </w:rPr>
        <w:t>项目自评综述：</w:t>
      </w:r>
      <w:r>
        <w:rPr>
          <w:rFonts w:ascii="fang_song_gb2312" w:hAnsi="fang_song_gb2312" w:eastAsia="fang_song_gb2312" w:cs="fang_song_gb2312"/>
          <w:kern w:val="0"/>
          <w:sz w:val="27"/>
          <w:szCs w:val="27"/>
          <w:u w:val="none"/>
        </w:rPr>
        <w:t>根据年初设定的绩效目标，项目自评得分</w:t>
      </w:r>
      <w:r>
        <w:rPr>
          <w:rFonts w:hint="eastAsia" w:ascii="times_new_roman" w:hAnsi="times_new_roman" w:cs="times_new_roman"/>
          <w:kern w:val="0"/>
          <w:sz w:val="27"/>
          <w:szCs w:val="27"/>
          <w:u w:val="none"/>
          <w:lang w:val="en-US" w:eastAsia="zh-CN"/>
        </w:rPr>
        <w:t>85.48</w:t>
      </w:r>
      <w:r>
        <w:rPr>
          <w:rFonts w:ascii="fang_song_gb2312" w:hAnsi="fang_song_gb2312" w:eastAsia="fang_song_gb2312" w:cs="fang_song_gb2312"/>
          <w:kern w:val="0"/>
          <w:sz w:val="27"/>
          <w:szCs w:val="27"/>
          <w:u w:val="none"/>
        </w:rPr>
        <w:t>分。全年预算数为</w:t>
      </w:r>
      <w:r>
        <w:rPr>
          <w:rFonts w:hint="eastAsia" w:ascii="times_new_roman" w:hAnsi="times_new_roman" w:cs="times_new_roman"/>
          <w:kern w:val="0"/>
          <w:sz w:val="27"/>
          <w:szCs w:val="27"/>
          <w:u w:val="none"/>
          <w:lang w:val="en-US" w:eastAsia="zh-CN"/>
        </w:rPr>
        <w:t>100.00</w:t>
      </w:r>
      <w:r>
        <w:rPr>
          <w:rFonts w:ascii="fang_song_gb2312" w:hAnsi="fang_song_gb2312" w:eastAsia="fang_song_gb2312" w:cs="fang_song_gb2312"/>
          <w:kern w:val="0"/>
          <w:sz w:val="27"/>
          <w:szCs w:val="27"/>
          <w:u w:val="none"/>
        </w:rPr>
        <w:t>万元，执行数为</w:t>
      </w:r>
      <w:r>
        <w:rPr>
          <w:rFonts w:hint="eastAsia" w:ascii="times_new_roman" w:hAnsi="times_new_roman" w:cs="times_new_roman"/>
          <w:kern w:val="0"/>
          <w:sz w:val="27"/>
          <w:szCs w:val="27"/>
          <w:u w:val="none"/>
          <w:lang w:val="en-US" w:eastAsia="zh-CN"/>
        </w:rPr>
        <w:t>14.85</w:t>
      </w:r>
      <w:r>
        <w:rPr>
          <w:rFonts w:ascii="fang_song_gb2312" w:hAnsi="fang_song_gb2312" w:eastAsia="fang_song_gb2312" w:cs="fang_song_gb2312"/>
          <w:kern w:val="0"/>
          <w:sz w:val="27"/>
          <w:szCs w:val="27"/>
          <w:u w:val="none"/>
        </w:rPr>
        <w:t>万</w:t>
      </w:r>
      <w:bookmarkStart w:id="1" w:name="_GoBack"/>
      <w:r>
        <w:rPr>
          <w:rFonts w:ascii="fang_song_gb2312" w:hAnsi="fang_song_gb2312" w:eastAsia="fang_song_gb2312" w:cs="fang_song_gb2312"/>
          <w:kern w:val="0"/>
          <w:sz w:val="27"/>
          <w:szCs w:val="27"/>
          <w:highlight w:val="none"/>
          <w:u w:val="none"/>
        </w:rPr>
        <w:t>元，完成预算的</w:t>
      </w:r>
      <w:r>
        <w:rPr>
          <w:rFonts w:hint="eastAsia" w:ascii="times_new_roman" w:hAnsi="times_new_roman" w:cs="times_new_roman"/>
          <w:kern w:val="0"/>
          <w:sz w:val="27"/>
          <w:szCs w:val="27"/>
          <w:highlight w:val="none"/>
          <w:u w:val="none"/>
          <w:lang w:val="en-US" w:eastAsia="zh-CN"/>
        </w:rPr>
        <w:t>14.85</w:t>
      </w:r>
      <w:r>
        <w:rPr>
          <w:rFonts w:ascii="fang_song_gb2312" w:hAnsi="fang_song_gb2312" w:eastAsia="fang_song_gb2312" w:cs="fang_song_gb2312"/>
          <w:kern w:val="0"/>
          <w:sz w:val="27"/>
          <w:szCs w:val="27"/>
          <w:highlight w:val="none"/>
          <w:u w:val="none"/>
        </w:rPr>
        <w:t>%。项目绩效目标完成情况：</w:t>
      </w:r>
      <w:r>
        <w:rPr>
          <w:rFonts w:hint="eastAsia" w:ascii="fang_song_gb2312" w:hAnsi="fang_song_gb2312" w:eastAsia="fang_song_gb2312" w:cs="fang_song_gb2312"/>
          <w:kern w:val="0"/>
          <w:sz w:val="27"/>
          <w:szCs w:val="27"/>
          <w:highlight w:val="none"/>
          <w:u w:val="none"/>
        </w:rPr>
        <w:t>截止2023年末，全年执行13.83万元</w:t>
      </w:r>
      <w:r>
        <w:rPr>
          <w:rFonts w:ascii="fang_song_gb2312" w:hAnsi="fang_song_gb2312" w:eastAsia="fang_song_gb2312" w:cs="fang_song_gb2312"/>
          <w:kern w:val="0"/>
          <w:sz w:val="27"/>
          <w:szCs w:val="27"/>
          <w:highlight w:val="none"/>
        </w:rPr>
        <w:t>。发现的主要问题及原因：</w:t>
      </w:r>
      <w:r>
        <w:rPr>
          <w:rFonts w:ascii="fang_song_gb2312" w:hAnsi="fang_song_gb2312" w:eastAsia="fang_song_gb2312" w:cs="fang_song_gb2312"/>
          <w:kern w:val="0"/>
          <w:sz w:val="27"/>
          <w:szCs w:val="27"/>
          <w:highlight w:val="none"/>
          <w:u w:val="none"/>
        </w:rPr>
        <w:t>全年预算数为</w:t>
      </w:r>
      <w:r>
        <w:rPr>
          <w:rFonts w:hint="eastAsia" w:ascii="times_new_roman" w:hAnsi="times_new_roman" w:cs="times_new_roman"/>
          <w:kern w:val="0"/>
          <w:sz w:val="27"/>
          <w:szCs w:val="27"/>
          <w:highlight w:val="none"/>
          <w:u w:val="none"/>
          <w:lang w:val="en-US" w:eastAsia="zh-CN"/>
        </w:rPr>
        <w:t>100.00</w:t>
      </w:r>
      <w:r>
        <w:rPr>
          <w:rFonts w:ascii="fang_song_gb2312" w:hAnsi="fang_song_gb2312" w:eastAsia="fang_song_gb2312" w:cs="fang_song_gb2312"/>
          <w:kern w:val="0"/>
          <w:sz w:val="27"/>
          <w:szCs w:val="27"/>
          <w:highlight w:val="none"/>
          <w:u w:val="none"/>
        </w:rPr>
        <w:t>万元，执行数为</w:t>
      </w:r>
      <w:r>
        <w:rPr>
          <w:rFonts w:hint="eastAsia" w:ascii="times_new_roman" w:hAnsi="times_new_roman" w:cs="times_new_roman"/>
          <w:kern w:val="0"/>
          <w:sz w:val="27"/>
          <w:szCs w:val="27"/>
          <w:highlight w:val="none"/>
          <w:u w:val="none"/>
          <w:lang w:val="en-US" w:eastAsia="zh-CN"/>
        </w:rPr>
        <w:t>14.85</w:t>
      </w:r>
      <w:r>
        <w:rPr>
          <w:rFonts w:ascii="fang_song_gb2312" w:hAnsi="fang_song_gb2312" w:eastAsia="fang_song_gb2312" w:cs="fang_song_gb2312"/>
          <w:kern w:val="0"/>
          <w:sz w:val="27"/>
          <w:szCs w:val="27"/>
          <w:highlight w:val="none"/>
          <w:u w:val="none"/>
        </w:rPr>
        <w:t>万元，完成预算的</w:t>
      </w:r>
      <w:r>
        <w:rPr>
          <w:rFonts w:hint="eastAsia" w:ascii="times_new_roman" w:hAnsi="times_new_roman" w:cs="times_new_roman"/>
          <w:kern w:val="0"/>
          <w:sz w:val="27"/>
          <w:szCs w:val="27"/>
          <w:highlight w:val="none"/>
          <w:u w:val="none"/>
          <w:lang w:val="en-US" w:eastAsia="zh-CN"/>
        </w:rPr>
        <w:t>14.85</w:t>
      </w:r>
      <w:r>
        <w:rPr>
          <w:rFonts w:ascii="fang_song_gb2312" w:hAnsi="fang_song_gb2312" w:eastAsia="fang_song_gb2312" w:cs="fang_song_gb2312"/>
          <w:kern w:val="0"/>
          <w:sz w:val="27"/>
          <w:szCs w:val="27"/>
          <w:highlight w:val="none"/>
          <w:u w:val="none"/>
        </w:rPr>
        <w:t>%</w:t>
      </w:r>
      <w:r>
        <w:rPr>
          <w:rFonts w:hint="eastAsia" w:ascii="fang_song_gb2312" w:hAnsi="fang_song_gb2312" w:eastAsia="宋体" w:cs="fang_song_gb2312"/>
          <w:kern w:val="0"/>
          <w:sz w:val="27"/>
          <w:szCs w:val="27"/>
          <w:highlight w:val="none"/>
          <w:u w:val="none"/>
          <w:lang w:eastAsia="zh-CN"/>
        </w:rPr>
        <w:t>，</w:t>
      </w:r>
      <w:r>
        <w:rPr>
          <w:rFonts w:hint="eastAsia" w:ascii="fang_song_gb2312" w:hAnsi="fang_song_gb2312" w:eastAsia="宋体" w:cs="fang_song_gb2312"/>
          <w:kern w:val="0"/>
          <w:sz w:val="27"/>
          <w:szCs w:val="27"/>
          <w:highlight w:val="none"/>
          <w:u w:val="none"/>
          <w:lang w:val="en-US" w:eastAsia="zh-CN"/>
        </w:rPr>
        <w:t>预算执行率低</w:t>
      </w:r>
      <w:r>
        <w:rPr>
          <w:rFonts w:ascii="fang_song_gb2312" w:hAnsi="fang_song_gb2312" w:eastAsia="fang_song_gb2312" w:cs="fang_song_gb2312"/>
          <w:kern w:val="0"/>
          <w:sz w:val="27"/>
          <w:szCs w:val="27"/>
          <w:highlight w:val="none"/>
        </w:rPr>
        <w:t>。下一步改进措施：</w:t>
      </w:r>
      <w:r>
        <w:rPr>
          <w:rFonts w:hint="eastAsia" w:ascii="fang_song_gb2312" w:hAnsi="fang_song_gb2312" w:cs="fang_song_gb2312"/>
          <w:kern w:val="0"/>
          <w:sz w:val="27"/>
          <w:szCs w:val="27"/>
          <w:highlight w:val="none"/>
          <w:lang w:val="en-US" w:eastAsia="zh-CN"/>
        </w:rPr>
        <w:t>提高预算编制准确性，项目支出严格按照预算执行</w:t>
      </w:r>
      <w:r>
        <w:rPr>
          <w:rFonts w:ascii="fang_song_gb2312" w:hAnsi="fang_song_gb2312" w:eastAsia="fang_song_gb2312" w:cs="fang_song_gb2312"/>
          <w:kern w:val="0"/>
          <w:sz w:val="27"/>
          <w:szCs w:val="27"/>
          <w:highlight w:val="none"/>
        </w:rPr>
        <w:t>。</w:t>
      </w:r>
      <w:bookmarkEnd w:id="1"/>
    </w:p>
    <w:p w14:paraId="5ADBF63F">
      <w:pPr>
        <w:pStyle w:val="2"/>
      </w:pPr>
    </w:p>
    <w:tbl>
      <w:tblPr>
        <w:tblStyle w:val="22"/>
        <w:tblW w:w="9915" w:type="dxa"/>
        <w:tblInd w:w="93" w:type="dxa"/>
        <w:tblLayout w:type="autofit"/>
        <w:tblCellMar>
          <w:top w:w="0" w:type="dxa"/>
          <w:left w:w="108" w:type="dxa"/>
          <w:bottom w:w="0" w:type="dxa"/>
          <w:right w:w="108" w:type="dxa"/>
        </w:tblCellMar>
      </w:tblPr>
      <w:tblGrid>
        <w:gridCol w:w="810"/>
        <w:gridCol w:w="810"/>
        <w:gridCol w:w="810"/>
        <w:gridCol w:w="810"/>
        <w:gridCol w:w="810"/>
        <w:gridCol w:w="810"/>
        <w:gridCol w:w="810"/>
        <w:gridCol w:w="810"/>
        <w:gridCol w:w="810"/>
        <w:gridCol w:w="810"/>
        <w:gridCol w:w="810"/>
        <w:gridCol w:w="1005"/>
      </w:tblGrid>
      <w:tr w14:paraId="23A996EF">
        <w:tblPrEx>
          <w:tblCellMar>
            <w:top w:w="0" w:type="dxa"/>
            <w:left w:w="108" w:type="dxa"/>
            <w:bottom w:w="0" w:type="dxa"/>
            <w:right w:w="108" w:type="dxa"/>
          </w:tblCellMar>
        </w:tblPrEx>
        <w:trPr>
          <w:trHeight w:val="960" w:hRule="atLeast"/>
        </w:trPr>
        <w:tc>
          <w:tcPr>
            <w:tcW w:w="991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B1899E8">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lang w:bidi="ar"/>
              </w:rPr>
              <w:t>项目支出绩效自评表</w:t>
            </w:r>
            <w:r>
              <w:rPr>
                <w:rFonts w:hint="eastAsia" w:ascii="宋体" w:hAnsi="宋体" w:cs="宋体"/>
                <w:b/>
                <w:bCs/>
                <w:color w:val="000000"/>
                <w:kern w:val="0"/>
                <w:sz w:val="40"/>
                <w:szCs w:val="40"/>
                <w:lang w:bidi="ar"/>
              </w:rPr>
              <w:br w:type="textWrapping"/>
            </w:r>
            <w:r>
              <w:rPr>
                <w:rFonts w:hint="eastAsia" w:ascii="宋体" w:hAnsi="宋体" w:cs="宋体"/>
                <w:b/>
                <w:bCs/>
                <w:color w:val="000000"/>
                <w:kern w:val="0"/>
                <w:sz w:val="40"/>
                <w:szCs w:val="40"/>
                <w:lang w:bidi="ar"/>
              </w:rPr>
              <w:t>(2023年度）</w:t>
            </w:r>
          </w:p>
        </w:tc>
      </w:tr>
      <w:tr w14:paraId="00FC54DD">
        <w:tblPrEx>
          <w:tblCellMar>
            <w:top w:w="0" w:type="dxa"/>
            <w:left w:w="108" w:type="dxa"/>
            <w:bottom w:w="0" w:type="dxa"/>
            <w:right w:w="108" w:type="dxa"/>
          </w:tblCellMar>
        </w:tblPrEx>
        <w:trPr>
          <w:trHeight w:val="380"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E62BC">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w:t>
            </w:r>
          </w:p>
        </w:tc>
        <w:tc>
          <w:tcPr>
            <w:tcW w:w="82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24484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满都拉口岸进境货运量奖补资金</w:t>
            </w:r>
          </w:p>
        </w:tc>
      </w:tr>
      <w:tr w14:paraId="68C76137">
        <w:tblPrEx>
          <w:tblCellMar>
            <w:top w:w="0" w:type="dxa"/>
            <w:left w:w="108" w:type="dxa"/>
            <w:bottom w:w="0" w:type="dxa"/>
            <w:right w:w="108" w:type="dxa"/>
          </w:tblCellMar>
        </w:tblPrEx>
        <w:trPr>
          <w:trHeight w:val="380"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8A36E">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主管部门</w:t>
            </w:r>
          </w:p>
        </w:tc>
        <w:tc>
          <w:tcPr>
            <w:tcW w:w="3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91630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包头市商务局（部门）</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589C9">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实施单位</w:t>
            </w:r>
          </w:p>
        </w:tc>
        <w:tc>
          <w:tcPr>
            <w:tcW w:w="3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F773A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包头市口岸服务中心</w:t>
            </w:r>
          </w:p>
        </w:tc>
      </w:tr>
      <w:tr w14:paraId="4EC7248F">
        <w:tblPrEx>
          <w:tblCellMar>
            <w:top w:w="0" w:type="dxa"/>
            <w:left w:w="108" w:type="dxa"/>
            <w:bottom w:w="0" w:type="dxa"/>
            <w:right w:w="108" w:type="dxa"/>
          </w:tblCellMar>
        </w:tblPrEx>
        <w:trPr>
          <w:trHeight w:val="380" w:hRule="atLeast"/>
        </w:trPr>
        <w:tc>
          <w:tcPr>
            <w:tcW w:w="16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461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项目资金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047B">
            <w:pPr>
              <w:rPr>
                <w:rFonts w:ascii="宋体" w:hAnsi="宋体" w:cs="宋体"/>
                <w:color w:val="00000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BB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年初预算数</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673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全年预算数</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9E6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全年执行数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957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1C6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执行率（%）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FD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r>
      <w:tr w14:paraId="73523B37">
        <w:tblPrEx>
          <w:tblCellMar>
            <w:top w:w="0" w:type="dxa"/>
            <w:left w:w="108" w:type="dxa"/>
            <w:bottom w:w="0" w:type="dxa"/>
            <w:right w:w="108" w:type="dxa"/>
          </w:tblCellMar>
        </w:tblPrEx>
        <w:trPr>
          <w:trHeight w:val="380" w:hRule="atLeast"/>
        </w:trPr>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B3095">
            <w:pPr>
              <w:jc w:val="center"/>
              <w:rPr>
                <w:rFonts w:ascii="宋体" w:hAnsi="宋体" w:cs="宋体"/>
                <w:color w:val="00000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29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年度资金总额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A46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BEC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E89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14.85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81F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909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14.85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E1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1.48</w:t>
            </w:r>
          </w:p>
        </w:tc>
      </w:tr>
      <w:tr w14:paraId="0AE8A032">
        <w:tblPrEx>
          <w:tblCellMar>
            <w:top w:w="0" w:type="dxa"/>
            <w:left w:w="108" w:type="dxa"/>
            <w:bottom w:w="0" w:type="dxa"/>
            <w:right w:w="108" w:type="dxa"/>
          </w:tblCellMar>
        </w:tblPrEx>
        <w:trPr>
          <w:trHeight w:val="380" w:hRule="atLeast"/>
        </w:trPr>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53155">
            <w:pPr>
              <w:jc w:val="center"/>
              <w:rPr>
                <w:rFonts w:ascii="宋体" w:hAnsi="宋体" w:cs="宋体"/>
                <w:color w:val="00000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2C0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其中：财政拨款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02E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453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1D9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BE9D">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4E3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8E22">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187E49BF">
        <w:tblPrEx>
          <w:tblCellMar>
            <w:top w:w="0" w:type="dxa"/>
            <w:left w:w="108" w:type="dxa"/>
            <w:bottom w:w="0" w:type="dxa"/>
            <w:right w:w="108" w:type="dxa"/>
          </w:tblCellMar>
        </w:tblPrEx>
        <w:trPr>
          <w:trHeight w:val="380" w:hRule="atLeast"/>
        </w:trPr>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E55D6">
            <w:pPr>
              <w:jc w:val="center"/>
              <w:rPr>
                <w:rFonts w:ascii="宋体" w:hAnsi="宋体" w:cs="宋体"/>
                <w:color w:val="00000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E4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上年结转资金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924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A47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CC1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AADF">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31C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68D9">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60518070">
        <w:tblPrEx>
          <w:tblCellMar>
            <w:top w:w="0" w:type="dxa"/>
            <w:left w:w="108" w:type="dxa"/>
            <w:bottom w:w="0" w:type="dxa"/>
            <w:right w:w="108" w:type="dxa"/>
          </w:tblCellMar>
        </w:tblPrEx>
        <w:trPr>
          <w:trHeight w:val="380" w:hRule="atLeast"/>
        </w:trPr>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1C3D2">
            <w:pPr>
              <w:jc w:val="center"/>
              <w:rPr>
                <w:rFonts w:ascii="宋体" w:hAnsi="宋体" w:cs="宋体"/>
                <w:color w:val="00000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A7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F77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FE6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0BD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00ED">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3A7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A61E">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4F29B9F5">
        <w:tblPrEx>
          <w:tblCellMar>
            <w:top w:w="0" w:type="dxa"/>
            <w:left w:w="108" w:type="dxa"/>
            <w:bottom w:w="0" w:type="dxa"/>
            <w:right w:w="108" w:type="dxa"/>
          </w:tblCellMar>
        </w:tblPrEx>
        <w:trPr>
          <w:trHeight w:val="380" w:hRule="atLeast"/>
        </w:trPr>
        <w:tc>
          <w:tcPr>
            <w:tcW w:w="16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4F0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年度总体目标</w:t>
            </w:r>
          </w:p>
        </w:tc>
        <w:tc>
          <w:tcPr>
            <w:tcW w:w="4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EA28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预期目标</w:t>
            </w:r>
          </w:p>
        </w:tc>
        <w:tc>
          <w:tcPr>
            <w:tcW w:w="4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881F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实际完成情况</w:t>
            </w:r>
          </w:p>
        </w:tc>
      </w:tr>
      <w:tr w14:paraId="2C2A2277">
        <w:tblPrEx>
          <w:tblCellMar>
            <w:top w:w="0" w:type="dxa"/>
            <w:left w:w="108" w:type="dxa"/>
            <w:bottom w:w="0" w:type="dxa"/>
            <w:right w:w="108" w:type="dxa"/>
          </w:tblCellMar>
        </w:tblPrEx>
        <w:trPr>
          <w:trHeight w:val="1120" w:hRule="atLeast"/>
        </w:trPr>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61CFD">
            <w:pPr>
              <w:jc w:val="center"/>
              <w:rPr>
                <w:rFonts w:ascii="宋体" w:hAnsi="宋体" w:cs="宋体"/>
                <w:color w:val="000000"/>
                <w:sz w:val="18"/>
                <w:szCs w:val="18"/>
              </w:rPr>
            </w:pPr>
          </w:p>
        </w:tc>
        <w:tc>
          <w:tcPr>
            <w:tcW w:w="4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E184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满都拉口岸进境货运量奖补资金项目旨在加快恢复口岸过货能力和水平，提高一线部门及人员工作积极性，根据重点口岸当月进境货运量实际数额给予奖补。</w:t>
            </w:r>
          </w:p>
        </w:tc>
        <w:tc>
          <w:tcPr>
            <w:tcW w:w="4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6C77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截止2023年末，全年执行14.85万元。</w:t>
            </w:r>
          </w:p>
        </w:tc>
      </w:tr>
      <w:tr w14:paraId="461C8B31">
        <w:tblPrEx>
          <w:tblCellMar>
            <w:top w:w="0" w:type="dxa"/>
            <w:left w:w="108" w:type="dxa"/>
            <w:bottom w:w="0" w:type="dxa"/>
            <w:right w:w="108" w:type="dxa"/>
          </w:tblCellMar>
        </w:tblPrEx>
        <w:trPr>
          <w:trHeight w:val="3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35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78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39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二级指标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F2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68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指标性质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BF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指标方向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B6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年度指标值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09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E3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计量单位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2B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90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47C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偏差原因分析及改进措施</w:t>
            </w:r>
          </w:p>
        </w:tc>
      </w:tr>
      <w:tr w14:paraId="6B756193">
        <w:tblPrEx>
          <w:tblCellMar>
            <w:top w:w="0" w:type="dxa"/>
            <w:left w:w="108" w:type="dxa"/>
            <w:bottom w:w="0" w:type="dxa"/>
            <w:right w:w="108" w:type="dxa"/>
          </w:tblCellMar>
        </w:tblPrEx>
        <w:trPr>
          <w:trHeight w:val="840" w:hRule="atLeast"/>
        </w:trPr>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2FE6DE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6C0D98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265E88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数量指标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B64C0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支付奖补资金金额</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BF045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反向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355CD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小于等于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0AEE0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05A84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14.85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60890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21C76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7B919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4711AD7E">
            <w:pPr>
              <w:jc w:val="center"/>
              <w:rPr>
                <w:rFonts w:ascii="宋体" w:hAnsi="宋体" w:cs="宋体"/>
                <w:color w:val="000000"/>
                <w:sz w:val="18"/>
                <w:szCs w:val="18"/>
              </w:rPr>
            </w:pPr>
          </w:p>
        </w:tc>
      </w:tr>
      <w:tr w14:paraId="5F62F38B">
        <w:tblPrEx>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339723AC">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0E0BCEE3">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49DC6A9A">
            <w:pPr>
              <w:jc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72D17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保障提升过货量口岸数量</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FA76C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CB138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C16B2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DD44C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F9CF1F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F5E79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D2B73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66D5C8F4">
            <w:pPr>
              <w:jc w:val="center"/>
              <w:rPr>
                <w:rFonts w:ascii="宋体" w:hAnsi="宋体" w:cs="宋体"/>
                <w:color w:val="000000"/>
                <w:sz w:val="18"/>
                <w:szCs w:val="18"/>
              </w:rPr>
            </w:pPr>
          </w:p>
        </w:tc>
      </w:tr>
      <w:tr w14:paraId="1F49E688">
        <w:tblPrEx>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2EE86F03">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61A551AA">
            <w:pPr>
              <w:jc w:val="center"/>
              <w:rPr>
                <w:rFonts w:ascii="宋体" w:hAnsi="宋体" w:cs="宋体"/>
                <w:color w:val="000000"/>
                <w:sz w:val="18"/>
                <w:szCs w:val="18"/>
              </w:rPr>
            </w:pP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6F61E0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质量指标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8D57A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促进口岸过货量提升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73F78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6527194">
            <w:pPr>
              <w:widowControl/>
              <w:jc w:val="center"/>
              <w:textAlignment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3A3CC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显著</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02D7B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显著</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789BF98">
            <w:pPr>
              <w:widowControl/>
              <w:jc w:val="center"/>
              <w:textAlignment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B8605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96429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413371B1">
            <w:pPr>
              <w:jc w:val="center"/>
              <w:rPr>
                <w:rFonts w:ascii="宋体" w:hAnsi="宋体" w:cs="宋体"/>
                <w:color w:val="000000"/>
                <w:sz w:val="18"/>
                <w:szCs w:val="18"/>
              </w:rPr>
            </w:pPr>
          </w:p>
        </w:tc>
      </w:tr>
      <w:tr w14:paraId="61E68D45">
        <w:tblPrEx>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65EC501F">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1199F7DF">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71E6B5F2">
            <w:pPr>
              <w:jc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23B13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奖补资金使用质量</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4B072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63301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7BF7F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6F731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2BE8D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855F8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3CF64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75A172AD">
            <w:pPr>
              <w:jc w:val="center"/>
              <w:rPr>
                <w:rFonts w:ascii="宋体" w:hAnsi="宋体" w:cs="宋体"/>
                <w:color w:val="000000"/>
                <w:sz w:val="18"/>
                <w:szCs w:val="18"/>
              </w:rPr>
            </w:pPr>
          </w:p>
        </w:tc>
      </w:tr>
      <w:tr w14:paraId="573005C2">
        <w:tblPrEx>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411FB4BB">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07FDB802">
            <w:pPr>
              <w:jc w:val="center"/>
              <w:rPr>
                <w:rFonts w:ascii="宋体" w:hAnsi="宋体" w:cs="宋体"/>
                <w:color w:val="000000"/>
                <w:sz w:val="18"/>
                <w:szCs w:val="18"/>
              </w:rPr>
            </w:pP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51D51E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时效指标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333E9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支付时限</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16B49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ECC52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BD6AE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2023</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23F18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2023</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709DB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6FA41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51EB4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5AC629EA">
            <w:pPr>
              <w:jc w:val="center"/>
              <w:rPr>
                <w:rFonts w:ascii="宋体" w:hAnsi="宋体" w:cs="宋体"/>
                <w:color w:val="000000"/>
                <w:sz w:val="18"/>
                <w:szCs w:val="18"/>
              </w:rPr>
            </w:pPr>
          </w:p>
        </w:tc>
      </w:tr>
      <w:tr w14:paraId="718F6D4A">
        <w:tblPrEx>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09BAF489">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5FAB65D3">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5D5815F5">
            <w:pPr>
              <w:jc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EE17F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资金使用效率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B6DCE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463EF9A">
            <w:pPr>
              <w:widowControl/>
              <w:jc w:val="center"/>
              <w:textAlignment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7BFDFF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显著</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1B021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显著</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CB07A33">
            <w:pPr>
              <w:widowControl/>
              <w:jc w:val="center"/>
              <w:textAlignment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103F2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E626C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15829B1A">
            <w:pPr>
              <w:jc w:val="center"/>
              <w:rPr>
                <w:rFonts w:ascii="宋体" w:hAnsi="宋体" w:cs="宋体"/>
                <w:color w:val="000000"/>
                <w:sz w:val="18"/>
                <w:szCs w:val="18"/>
              </w:rPr>
            </w:pPr>
          </w:p>
        </w:tc>
      </w:tr>
      <w:tr w14:paraId="62FDDD61">
        <w:tblPrEx>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58A5A6CF">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3957C4A6">
            <w:pPr>
              <w:jc w:val="center"/>
              <w:rPr>
                <w:rFonts w:ascii="宋体" w:hAnsi="宋体" w:cs="宋体"/>
                <w:color w:val="000000"/>
                <w:sz w:val="18"/>
                <w:szCs w:val="18"/>
              </w:rPr>
            </w:pP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567BE1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成本指标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3FA58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提升口岸过货量产生的经济成本</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3A733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反向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69B68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小于等于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CA7D8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D30A1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14.85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80092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90FD3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7BE0F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1FA4B76A">
            <w:pPr>
              <w:jc w:val="center"/>
              <w:rPr>
                <w:rFonts w:ascii="宋体" w:hAnsi="宋体" w:cs="宋体"/>
                <w:color w:val="000000"/>
                <w:sz w:val="18"/>
                <w:szCs w:val="18"/>
              </w:rPr>
            </w:pPr>
          </w:p>
        </w:tc>
      </w:tr>
      <w:tr w14:paraId="2DD26565">
        <w:tblPrEx>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2D71B410">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0EB35084">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783A4136">
            <w:pPr>
              <w:jc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C208F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支付时产生的额外成本</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1C9DD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9F40B85">
            <w:pPr>
              <w:widowControl/>
              <w:jc w:val="center"/>
              <w:textAlignment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1007B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88023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E969022">
            <w:pPr>
              <w:widowControl/>
              <w:jc w:val="center"/>
              <w:textAlignment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3AB8A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DC091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5A976AF4">
            <w:pPr>
              <w:jc w:val="center"/>
              <w:rPr>
                <w:rFonts w:ascii="宋体" w:hAnsi="宋体" w:cs="宋体"/>
                <w:color w:val="000000"/>
                <w:sz w:val="18"/>
                <w:szCs w:val="18"/>
              </w:rPr>
            </w:pPr>
          </w:p>
        </w:tc>
      </w:tr>
      <w:tr w14:paraId="2B05F0EC">
        <w:tblPrEx>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63EBAC18">
            <w:pPr>
              <w:jc w:val="center"/>
              <w:rPr>
                <w:rFonts w:ascii="宋体" w:hAnsi="宋体" w:cs="宋体"/>
                <w:color w:val="000000"/>
                <w:sz w:val="18"/>
                <w:szCs w:val="18"/>
              </w:rPr>
            </w:pP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176EF2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效益指标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A4332F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社会效益</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3533A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促进满都拉口岸稳定</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E62C9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DF12366">
            <w:pPr>
              <w:jc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5ADEB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显著</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F4133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显著</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32F5F01">
            <w:pPr>
              <w:jc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0B2ACB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2E2D9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790E341A">
            <w:pPr>
              <w:widowControl/>
              <w:jc w:val="center"/>
              <w:textAlignment w:val="center"/>
              <w:rPr>
                <w:rFonts w:ascii="宋体" w:hAnsi="宋体" w:cs="宋体"/>
                <w:color w:val="000000"/>
                <w:sz w:val="18"/>
                <w:szCs w:val="18"/>
              </w:rPr>
            </w:pPr>
          </w:p>
        </w:tc>
      </w:tr>
      <w:tr w14:paraId="1854F24A">
        <w:tblPrEx>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5A29D32E">
            <w:pPr>
              <w:jc w:val="center"/>
              <w:rPr>
                <w:rFonts w:ascii="宋体" w:hAnsi="宋体" w:cs="宋体"/>
                <w:color w:val="000000"/>
                <w:sz w:val="18"/>
                <w:szCs w:val="18"/>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79F2724E">
            <w:pPr>
              <w:jc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39F2EB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可持续影响</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069A4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实现满都拉口岸可持续发展</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A9F40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8EC04FF">
            <w:pPr>
              <w:jc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94F8A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持续发展</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32F96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持续发展</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45404FE">
            <w:pPr>
              <w:jc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2845A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8870C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46C6DFC5">
            <w:pPr>
              <w:widowControl/>
              <w:jc w:val="center"/>
              <w:textAlignment w:val="center"/>
              <w:rPr>
                <w:rFonts w:ascii="宋体" w:hAnsi="宋体" w:cs="宋体"/>
                <w:color w:val="000000"/>
                <w:sz w:val="18"/>
                <w:szCs w:val="18"/>
              </w:rPr>
            </w:pPr>
          </w:p>
        </w:tc>
      </w:tr>
      <w:tr w14:paraId="711EC419">
        <w:tblPrEx>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0F02567C">
            <w:pPr>
              <w:jc w:val="center"/>
              <w:rPr>
                <w:rFonts w:ascii="宋体" w:hAnsi="宋体" w:cs="宋体"/>
                <w:color w:val="000000"/>
                <w:sz w:val="18"/>
                <w:szCs w:val="18"/>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44304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33A433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服务对象满意度</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3EB55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群众满意度</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E881A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626DD4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425F0C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D196A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18A5FC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85E1D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19727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36D3969A">
            <w:pPr>
              <w:jc w:val="center"/>
              <w:rPr>
                <w:rFonts w:ascii="宋体" w:hAnsi="宋体" w:cs="宋体"/>
                <w:color w:val="000000"/>
                <w:sz w:val="18"/>
                <w:szCs w:val="18"/>
              </w:rPr>
            </w:pPr>
          </w:p>
        </w:tc>
      </w:tr>
      <w:tr w14:paraId="503DC164">
        <w:tblPrEx>
          <w:tblCellMar>
            <w:top w:w="0" w:type="dxa"/>
            <w:left w:w="108" w:type="dxa"/>
            <w:bottom w:w="0" w:type="dxa"/>
            <w:right w:w="108" w:type="dxa"/>
          </w:tblCellMar>
        </w:tblPrEx>
        <w:trPr>
          <w:trHeight w:val="840" w:hRule="atLeast"/>
        </w:trPr>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F1AB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16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CD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85.48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6235">
            <w:pPr>
              <w:jc w:val="center"/>
              <w:rPr>
                <w:rFonts w:ascii="宋体" w:hAnsi="宋体" w:cs="宋体"/>
                <w:color w:val="000000"/>
                <w:sz w:val="18"/>
                <w:szCs w:val="18"/>
              </w:rPr>
            </w:pPr>
          </w:p>
        </w:tc>
      </w:tr>
    </w:tbl>
    <w:p w14:paraId="3689FCB0">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w:t>
      </w:r>
      <w:r>
        <w:rPr>
          <w:rFonts w:hint="eastAsia" w:ascii="kai_ti_gb2312" w:hAnsi="kai_ti_gb2312" w:cs="kai_ti_gb2312"/>
          <w:b/>
          <w:bCs/>
          <w:kern w:val="0"/>
          <w:sz w:val="27"/>
          <w:szCs w:val="27"/>
          <w:lang w:eastAsia="zh-CN"/>
        </w:rPr>
        <w:t>单位</w:t>
      </w:r>
      <w:r>
        <w:rPr>
          <w:rFonts w:ascii="kai_ti_gb2312" w:hAnsi="kai_ti_gb2312" w:eastAsia="kai_ti_gb2312" w:cs="kai_ti_gb2312"/>
          <w:b/>
          <w:bCs/>
          <w:kern w:val="0"/>
          <w:sz w:val="27"/>
          <w:szCs w:val="27"/>
        </w:rPr>
        <w:t>项目绩效评价结果。</w:t>
      </w:r>
    </w:p>
    <w:p w14:paraId="3EC455EB">
      <w:pPr>
        <w:widowControl/>
        <w:spacing w:before="240" w:after="240"/>
        <w:ind w:firstLine="540" w:firstLineChars="200"/>
        <w:jc w:val="left"/>
        <w:rPr>
          <w:rFonts w:hint="eastAsia" w:ascii="fang_song_gb2312" w:hAnsi="fang_song_gb2312" w:eastAsia="宋体" w:cs="fang_song_gb2312"/>
          <w:kern w:val="0"/>
          <w:sz w:val="27"/>
          <w:szCs w:val="27"/>
          <w:lang w:val="en-US" w:eastAsia="zh-CN"/>
        </w:rPr>
      </w:pPr>
      <w:r>
        <w:rPr>
          <w:rFonts w:hint="eastAsia" w:ascii="fang_song_gb2312" w:hAnsi="fang_song_gb2312" w:eastAsia="宋体" w:cs="fang_song_gb2312"/>
          <w:kern w:val="0"/>
          <w:sz w:val="27"/>
          <w:szCs w:val="27"/>
          <w:lang w:val="en-US" w:eastAsia="zh-CN"/>
        </w:rPr>
        <w:t>本单位无重点绩效评价项目。</w:t>
      </w:r>
    </w:p>
    <w:p w14:paraId="275EC083">
      <w:pPr>
        <w:pStyle w:val="2"/>
        <w:rPr>
          <w:rFonts w:hint="eastAsia" w:ascii="fang_song_gb2312" w:hAnsi="fang_song_gb2312" w:eastAsia="宋体" w:cs="fang_song_gb2312"/>
          <w:kern w:val="0"/>
          <w:sz w:val="27"/>
          <w:szCs w:val="27"/>
          <w:lang w:val="en-US" w:eastAsia="zh-CN"/>
        </w:rPr>
      </w:pPr>
    </w:p>
    <w:p w14:paraId="2B5743CA">
      <w:pPr>
        <w:rPr>
          <w:rFonts w:hint="eastAsia" w:ascii="fang_song_gb2312" w:hAnsi="fang_song_gb2312" w:eastAsia="宋体" w:cs="fang_song_gb2312"/>
          <w:kern w:val="0"/>
          <w:sz w:val="27"/>
          <w:szCs w:val="27"/>
          <w:lang w:val="en-US" w:eastAsia="zh-CN"/>
        </w:rPr>
      </w:pPr>
    </w:p>
    <w:p w14:paraId="01F540DB">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54C200F6">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25B6E4E2">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一、财政拨款收入：</w:t>
      </w:r>
      <w:r>
        <w:rPr>
          <w:rFonts w:ascii="fang_song_gb2312" w:hAnsi="fang_song_gb2312" w:eastAsia="fang_song_gb2312" w:cs="fang_song_gb2312"/>
          <w:kern w:val="0"/>
          <w:sz w:val="27"/>
          <w:szCs w:val="27"/>
        </w:rPr>
        <w:t>从同级财政部门取得的各类财政拨款，包括一般公共预算财政拨款、政府性基金预算财政拨款、国有资本经营预算财政拨款。</w:t>
      </w:r>
    </w:p>
    <w:p w14:paraId="3EEE2D27">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二、上级补助收入：</w:t>
      </w:r>
      <w:r>
        <w:rPr>
          <w:rFonts w:ascii="fang_song_gb2312" w:hAnsi="fang_song_gb2312" w:eastAsia="fang_song_gb2312" w:cs="fang_song_gb2312"/>
          <w:kern w:val="0"/>
          <w:sz w:val="27"/>
          <w:szCs w:val="27"/>
        </w:rPr>
        <w:t>指事业单位从主管部门和上级单位取得的非财政补助收入。</w:t>
      </w:r>
    </w:p>
    <w:p w14:paraId="45864AE9">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三、财政专户管理教育收费：</w:t>
      </w:r>
      <w:r>
        <w:rPr>
          <w:rFonts w:ascii="fang_song_gb2312" w:hAnsi="fang_song_gb2312" w:eastAsia="fang_song_gb2312" w:cs="fang_song_gb2312"/>
          <w:kern w:val="0"/>
          <w:sz w:val="27"/>
          <w:szCs w:val="27"/>
        </w:rPr>
        <w:t>指缴入财政专户、实行专项管理的高中以上学费、住宿费、高校委托培养费、函大、电大、夜大及短训班培训费等教育收费。</w:t>
      </w:r>
    </w:p>
    <w:p w14:paraId="07396C97">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四、事业收入：</w:t>
      </w:r>
      <w:r>
        <w:rPr>
          <w:rFonts w:ascii="fang_song_gb2312" w:hAnsi="fang_song_gb2312" w:eastAsia="fang_song_gb2312" w:cs="fang_song_gb2312"/>
          <w:kern w:val="0"/>
          <w:sz w:val="27"/>
          <w:szCs w:val="27"/>
        </w:rPr>
        <w:t>指事业单位开展专业业务活动及其辅助活动取得的收入。</w:t>
      </w:r>
    </w:p>
    <w:p w14:paraId="6552AB49">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五、经营收入：</w:t>
      </w:r>
      <w:r>
        <w:rPr>
          <w:rFonts w:ascii="fang_song_gb2312" w:hAnsi="fang_song_gb2312" w:eastAsia="fang_song_gb2312" w:cs="fang_song_gb2312"/>
          <w:kern w:val="0"/>
          <w:sz w:val="27"/>
          <w:szCs w:val="27"/>
        </w:rPr>
        <w:t>指事业单位在专业业务活动及其辅助活动之外开展非独立核算经营活动取得的收入。</w:t>
      </w:r>
    </w:p>
    <w:p w14:paraId="282F76CE">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六、附属单位上缴收入：</w:t>
      </w:r>
      <w:r>
        <w:rPr>
          <w:rFonts w:ascii="fang_song_gb2312" w:hAnsi="fang_song_gb2312" w:eastAsia="fang_song_gb2312" w:cs="fang_song_gb2312"/>
          <w:kern w:val="0"/>
          <w:sz w:val="27"/>
          <w:szCs w:val="27"/>
        </w:rPr>
        <w:t>指事业单位取得附属独立核算单位按照有关规定上缴的收入。</w:t>
      </w:r>
    </w:p>
    <w:p w14:paraId="51CFF967">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七、其他收入：</w:t>
      </w:r>
      <w:r>
        <w:rPr>
          <w:rFonts w:ascii="fang_song_gb2312" w:hAnsi="fang_song_gb2312" w:eastAsia="fang_song_gb2312" w:cs="fang_song_gb2312"/>
          <w:kern w:val="0"/>
          <w:sz w:val="27"/>
          <w:szCs w:val="27"/>
        </w:rPr>
        <w:t>取得的除上述“财政拨款收入”、“上级补助收入”、“事业收入”、“经营收入”、“附属单位上缴收入”等以外的各项收入。</w:t>
      </w:r>
    </w:p>
    <w:p w14:paraId="5167BB16">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八、使用非财政拨款结余和专用结余：</w:t>
      </w:r>
      <w:r>
        <w:rPr>
          <w:rFonts w:ascii="fang_song_gb2312" w:hAnsi="fang_song_gb2312" w:eastAsia="fang_song_gb2312" w:cs="fang_song_gb2312"/>
          <w:kern w:val="0"/>
          <w:sz w:val="27"/>
          <w:szCs w:val="27"/>
        </w:rPr>
        <w:t>指事业单位按照预算管理要求使用非财政拨款结余和专用结余弥补当年收支差额的数额。</w:t>
      </w:r>
    </w:p>
    <w:p w14:paraId="3EE80B9E">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九、年初结转和结余：</w:t>
      </w:r>
      <w:r>
        <w:rPr>
          <w:rFonts w:ascii="fang_song_gb2312" w:hAnsi="fang_song_gb2312" w:eastAsia="fang_song_gb2312" w:cs="fang_song_gb2312"/>
          <w:kern w:val="0"/>
          <w:sz w:val="27"/>
          <w:szCs w:val="27"/>
        </w:rPr>
        <w:t>指单位上年结转本年使用的基本支出结转、项目支出结转和结余、经营结余。</w:t>
      </w:r>
    </w:p>
    <w:p w14:paraId="06F4B947">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十、结余分配：</w:t>
      </w:r>
      <w:r>
        <w:rPr>
          <w:rFonts w:ascii="fang_song_gb2312" w:hAnsi="fang_song_gb2312" w:eastAsia="fang_song_gb2312" w:cs="fang_song_gb2312"/>
          <w:kern w:val="0"/>
          <w:sz w:val="27"/>
          <w:szCs w:val="27"/>
        </w:rPr>
        <w:t>指事业单位按规定缴纳企业所得税以及从非财政拨款结余或经营结余中提取各类结余的情况。</w:t>
      </w:r>
    </w:p>
    <w:p w14:paraId="2F1153CC">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十一、年末结转和结余资金：</w:t>
      </w:r>
      <w:r>
        <w:rPr>
          <w:rFonts w:ascii="fang_song_gb2312" w:hAnsi="fang_song_gb2312" w:eastAsia="fang_song_gb2312" w:cs="fang_song_gb2312"/>
          <w:kern w:val="0"/>
          <w:sz w:val="27"/>
          <w:szCs w:val="27"/>
        </w:rPr>
        <w:t>指单位结转下年的基本支出结转、项目支出结转和结余、经营结余。</w:t>
      </w:r>
    </w:p>
    <w:p w14:paraId="7CCB8C0F">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十二、基本支出：</w:t>
      </w:r>
      <w:r>
        <w:rPr>
          <w:rFonts w:ascii="fang_song_gb2312" w:hAnsi="fang_song_gb2312" w:eastAsia="fang_song_gb2312" w:cs="fang_song_gb2312"/>
          <w:kern w:val="0"/>
          <w:sz w:val="27"/>
          <w:szCs w:val="27"/>
        </w:rPr>
        <w:t>指为保障机构正常运转、完成日常工作任务所发生的支出，包括人员经费和公用经费。</w:t>
      </w:r>
    </w:p>
    <w:p w14:paraId="23713CF9">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十三、项目支出：</w:t>
      </w:r>
      <w:r>
        <w:rPr>
          <w:rFonts w:ascii="fang_song_gb2312" w:hAnsi="fang_song_gb2312" w:eastAsia="fang_song_gb2312" w:cs="fang_song_gb2312"/>
          <w:kern w:val="0"/>
          <w:sz w:val="27"/>
          <w:szCs w:val="27"/>
        </w:rPr>
        <w:t>指在为完成特定的工作任务和事业发展目标所发生的支出。</w:t>
      </w:r>
    </w:p>
    <w:p w14:paraId="77996A50">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十四、上缴上级支出：</w:t>
      </w:r>
      <w:r>
        <w:rPr>
          <w:rFonts w:ascii="fang_song_gb2312" w:hAnsi="fang_song_gb2312" w:eastAsia="fang_song_gb2312" w:cs="fang_song_gb2312"/>
          <w:kern w:val="0"/>
          <w:sz w:val="27"/>
          <w:szCs w:val="27"/>
        </w:rPr>
        <w:t>指事业单位按照财政部门和主管部门的规定上缴上级单位的支出。</w:t>
      </w:r>
    </w:p>
    <w:p w14:paraId="319406B9">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十五、经营支出：</w:t>
      </w:r>
      <w:r>
        <w:rPr>
          <w:rFonts w:ascii="fang_song_gb2312" w:hAnsi="fang_song_gb2312" w:eastAsia="fang_song_gb2312" w:cs="fang_song_gb2312"/>
          <w:kern w:val="0"/>
          <w:sz w:val="27"/>
          <w:szCs w:val="27"/>
        </w:rPr>
        <w:t>指事业单位在专业业务活动及其辅助活动之外开展非独立核算经营活动发生的支出。</w:t>
      </w:r>
    </w:p>
    <w:p w14:paraId="4CA84EBF">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十六、对附属单位补助支出：</w:t>
      </w:r>
      <w:r>
        <w:rPr>
          <w:rFonts w:ascii="fang_song_gb2312" w:hAnsi="fang_song_gb2312" w:eastAsia="fang_song_gb2312" w:cs="fang_song_gb2312"/>
          <w:kern w:val="0"/>
          <w:sz w:val="27"/>
          <w:szCs w:val="27"/>
        </w:rPr>
        <w:t>指事业单位用财政拨款收入之外的收入对附属单位补助发生的支出。</w:t>
      </w:r>
    </w:p>
    <w:p w14:paraId="3C181052">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十七、“三公”经费：</w:t>
      </w:r>
      <w:r>
        <w:rPr>
          <w:rFonts w:ascii="fang_song_gb2312" w:hAnsi="fang_song_gb2312" w:eastAsia="fang_song_gb2312" w:cs="fang_song_gb2312"/>
          <w:kern w:val="0"/>
          <w:sz w:val="27"/>
          <w:szCs w:val="27"/>
        </w:rPr>
        <w:t>指</w:t>
      </w:r>
      <w:r>
        <w:rPr>
          <w:rFonts w:hint="eastAsia" w:ascii="fang_song_gb2312" w:hAnsi="fang_song_gb2312" w:cs="fang_song_gb2312"/>
          <w:kern w:val="0"/>
          <w:sz w:val="27"/>
          <w:szCs w:val="27"/>
          <w:lang w:eastAsia="zh-CN"/>
        </w:rPr>
        <w:t>单位</w:t>
      </w:r>
      <w:r>
        <w:rPr>
          <w:rFonts w:ascii="fang_song_gb2312" w:hAnsi="fang_song_gb2312" w:eastAsia="fang_song_gb2312" w:cs="fang_song_gb2312"/>
          <w:kern w:val="0"/>
          <w:sz w:val="27"/>
          <w:szCs w:val="27"/>
        </w:rPr>
        <w:t>用财政拨款安排的因公出国（境）费、公务用车购置及运行维护费和公务接待费。其中，因公出国（境）费反映</w:t>
      </w:r>
      <w:r>
        <w:rPr>
          <w:rFonts w:hint="eastAsia" w:ascii="fang_song_gb2312" w:hAnsi="fang_song_gb2312" w:cs="fang_song_gb2312"/>
          <w:kern w:val="0"/>
          <w:sz w:val="27"/>
          <w:szCs w:val="27"/>
          <w:lang w:eastAsia="zh-CN"/>
        </w:rPr>
        <w:t>单位</w:t>
      </w:r>
      <w:r>
        <w:rPr>
          <w:rFonts w:ascii="fang_song_gb2312" w:hAnsi="fang_song_gb2312" w:eastAsia="fang_song_gb2312" w:cs="fang_song_gb2312"/>
          <w:kern w:val="0"/>
          <w:sz w:val="27"/>
          <w:szCs w:val="27"/>
        </w:rPr>
        <w:t>)公务出国（境）的国际旅费、国外城市间交通费、住宿费、伙食费、培训费、公杂费等支出；公务用车购置及运行维护费反映</w:t>
      </w:r>
      <w:r>
        <w:rPr>
          <w:rFonts w:hint="eastAsia" w:ascii="fang_song_gb2312" w:hAnsi="fang_song_gb2312" w:cs="fang_song_gb2312"/>
          <w:kern w:val="0"/>
          <w:sz w:val="27"/>
          <w:szCs w:val="27"/>
          <w:lang w:eastAsia="zh-CN"/>
        </w:rPr>
        <w:t>单位</w:t>
      </w:r>
      <w:r>
        <w:rPr>
          <w:rFonts w:ascii="fang_song_gb2312" w:hAnsi="fang_song_gb2312" w:eastAsia="fang_song_gb2312" w:cs="fang_song_gb2312"/>
          <w:kern w:val="0"/>
          <w:sz w:val="27"/>
          <w:szCs w:val="27"/>
        </w:rPr>
        <w:t>公务用车购置支出（含车辆购置税、牌照费）以及按规定保留的公务用车燃料费、维修费、过路过桥费、保险费、安全奖励费用等支出；公务接待费反映</w:t>
      </w:r>
      <w:r>
        <w:rPr>
          <w:rFonts w:hint="eastAsia" w:ascii="fang_song_gb2312" w:hAnsi="fang_song_gb2312" w:cs="fang_song_gb2312"/>
          <w:kern w:val="0"/>
          <w:sz w:val="27"/>
          <w:szCs w:val="27"/>
          <w:lang w:eastAsia="zh-CN"/>
        </w:rPr>
        <w:t>单位</w:t>
      </w:r>
      <w:r>
        <w:rPr>
          <w:rFonts w:ascii="fang_song_gb2312" w:hAnsi="fang_song_gb2312" w:eastAsia="fang_song_gb2312" w:cs="fang_song_gb2312"/>
          <w:kern w:val="0"/>
          <w:sz w:val="27"/>
          <w:szCs w:val="27"/>
        </w:rPr>
        <w:t>按规定开支的各类公务接待（含外宾接待）费用。</w:t>
      </w:r>
    </w:p>
    <w:p w14:paraId="59746F62">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十八、机构运行经费：</w:t>
      </w:r>
      <w:r>
        <w:rPr>
          <w:rFonts w:ascii="fang_song_gb2312" w:hAnsi="fang_song_gb2312" w:eastAsia="fang_song_gb2312" w:cs="fang_song_gb2312"/>
          <w:kern w:val="0"/>
          <w:sz w:val="27"/>
          <w:szCs w:val="27"/>
        </w:rPr>
        <w:t>指</w:t>
      </w:r>
      <w:r>
        <w:rPr>
          <w:rFonts w:hint="eastAsia" w:ascii="fang_song_gb2312" w:hAnsi="fang_song_gb2312" w:cs="fang_song_gb2312"/>
          <w:kern w:val="0"/>
          <w:sz w:val="27"/>
          <w:szCs w:val="27"/>
          <w:lang w:eastAsia="zh-CN"/>
        </w:rPr>
        <w:t>单位</w:t>
      </w:r>
      <w:r>
        <w:rPr>
          <w:rFonts w:ascii="fang_song_gb2312" w:hAnsi="fang_song_gb2312" w:eastAsia="fang_song_gb2312" w:cs="fang_song_gb2312"/>
          <w:kern w:val="0"/>
          <w:sz w:val="27"/>
          <w:szCs w:val="27"/>
        </w:rPr>
        <w:t>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44424CB">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song_gb2312" w:hAnsi="fang_song_gb2312" w:eastAsia="fang_song_gb2312" w:cs="fang_song_gb2312"/>
          <w:color w:val="0E00FE"/>
          <w:kern w:val="0"/>
          <w:sz w:val="27"/>
          <w:szCs w:val="27"/>
        </w:rPr>
        <w:t>   </w:t>
      </w: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28FCC943">
      <w:pPr>
        <w:widowControl/>
        <w:spacing w:before="240" w:after="240"/>
        <w:jc w:val="left"/>
        <w:rPr>
          <w:rFonts w:ascii="Times New Roman" w:hAnsi="Times New Roman" w:eastAsia="Times New Roman" w:cs="Times New Roman"/>
          <w:kern w:val="0"/>
          <w:sz w:val="24"/>
        </w:rPr>
      </w:pPr>
    </w:p>
    <w:p w14:paraId="68020F79">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本单位决算公开信息反馈和联系方式：</w:t>
      </w:r>
    </w:p>
    <w:p w14:paraId="1A0E3E1D">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u w:val="none"/>
        </w:rPr>
        <w:t>    联系人：段亦姝         </w:t>
      </w:r>
      <w:r>
        <w:rPr>
          <w:rFonts w:ascii="fang_song_gb2312" w:hAnsi="fang_song_gb2312" w:eastAsia="fang_song_gb2312" w:cs="fang_song_gb2312"/>
          <w:kern w:val="0"/>
          <w:sz w:val="27"/>
          <w:szCs w:val="27"/>
        </w:rPr>
        <w:t>  联系电话：0472-2745294</w:t>
      </w:r>
    </w:p>
    <w:p w14:paraId="3B548523">
      <w:pPr>
        <w:widowControl/>
        <w:spacing w:before="240" w:after="240"/>
        <w:jc w:val="left"/>
        <w:rPr>
          <w:rFonts w:ascii="Times New Roman" w:hAnsi="Times New Roman" w:eastAsia="Times New Roman" w:cs="Times New Roman"/>
          <w:kern w:val="0"/>
          <w:sz w:val="24"/>
        </w:rPr>
      </w:pPr>
    </w:p>
    <w:p w14:paraId="201A8C3E">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kern w:val="0"/>
          <w:sz w:val="36"/>
          <w:szCs w:val="36"/>
        </w:rPr>
        <w:t xml:space="preserve">第五部分 </w:t>
      </w:r>
      <w:r>
        <w:rPr>
          <w:rFonts w:hint="eastAsia" w:ascii="fang_zheng_xiao_biao_song_ti" w:hAnsi="fang_zheng_xiao_biao_song_ti" w:cs="fang_zheng_xiao_biao_song_ti"/>
          <w:b/>
          <w:bCs/>
          <w:kern w:val="0"/>
          <w:sz w:val="36"/>
          <w:szCs w:val="36"/>
          <w:lang w:eastAsia="zh-CN"/>
        </w:rPr>
        <w:t>单位</w:t>
      </w:r>
      <w:r>
        <w:rPr>
          <w:rFonts w:ascii="fang_zheng_xiao_biao_song_ti" w:hAnsi="fang_zheng_xiao_biao_song_ti" w:eastAsia="fang_zheng_xiao_biao_song_ti" w:cs="fang_zheng_xiao_biao_song_ti"/>
          <w:b/>
          <w:bCs/>
          <w:kern w:val="0"/>
          <w:sz w:val="36"/>
          <w:szCs w:val="36"/>
        </w:rPr>
        <w:t>决算表</w:t>
      </w:r>
    </w:p>
    <w:p w14:paraId="2F950BC7">
      <w:pPr>
        <w:widowControl/>
        <w:spacing w:before="240" w:after="240"/>
        <w:jc w:val="center"/>
        <w:rPr>
          <w:rFonts w:ascii="Times New Roman" w:hAnsi="Times New Roman" w:eastAsia="Times New Roman" w:cs="Times New Roman"/>
          <w:kern w:val="0"/>
          <w:sz w:val="24"/>
        </w:rPr>
      </w:pPr>
    </w:p>
    <w:p w14:paraId="42CA94DA">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见附件。</w:t>
      </w:r>
    </w:p>
    <w:p w14:paraId="2CD36900">
      <w:pPr>
        <w:widowControl/>
        <w:spacing w:before="240" w:after="240"/>
        <w:jc w:val="left"/>
        <w:rPr>
          <w:rFonts w:ascii="Times New Roman" w:hAnsi="Times New Roman" w:eastAsia="Times New Roman" w:cs="Times New Roman"/>
          <w:kern w:val="0"/>
          <w:sz w:val="24"/>
        </w:rPr>
      </w:pPr>
    </w:p>
    <w:p w14:paraId="5921894F">
      <w:pPr>
        <w:widowControl/>
        <w:spacing w:before="240" w:after="240"/>
        <w:jc w:val="left"/>
        <w:rPr>
          <w:rFonts w:ascii="Times New Roman" w:hAnsi="Times New Roman" w:eastAsia="Times New Roman" w:cs="Times New Roman"/>
          <w:kern w:val="0"/>
          <w:sz w:val="24"/>
        </w:rPr>
      </w:pPr>
    </w:p>
    <w:p w14:paraId="217FF3EF">
      <w:pPr>
        <w:widowControl/>
        <w:spacing w:before="240" w:after="240"/>
        <w:jc w:val="left"/>
        <w:rPr>
          <w:rFonts w:ascii="Times New Roman" w:hAnsi="Times New Roman" w:eastAsia="Times New Roman" w:cs="Times New Roman"/>
          <w:kern w:val="0"/>
          <w:sz w:val="24"/>
        </w:rPr>
      </w:pPr>
    </w:p>
    <w:bookmarkEnd w:id="0"/>
    <w:p w14:paraId="2C165786">
      <w:pPr>
        <w:adjustRightInd w:val="0"/>
        <w:snapToGrid w:val="0"/>
        <w:rPr>
          <w:rFonts w:ascii="宋体" w:hAnsi="宋体"/>
          <w:b/>
          <w:sz w:val="32"/>
          <w:szCs w:val="32"/>
        </w:rPr>
      </w:pPr>
    </w:p>
    <w:p w14:paraId="16B721BE">
      <w:pPr>
        <w:adjustRightInd w:val="0"/>
        <w:snapToGrid w:val="0"/>
        <w:rPr>
          <w:rFonts w:ascii="宋体" w:hAnsi="宋体"/>
          <w:b/>
          <w:sz w:val="32"/>
          <w:szCs w:val="32"/>
        </w:rPr>
      </w:pPr>
    </w:p>
    <w:p w14:paraId="064DC7E7">
      <w:pPr>
        <w:tabs>
          <w:tab w:val="left" w:pos="8415"/>
        </w:tabs>
      </w:pPr>
    </w:p>
    <w:sectPr>
      <w:footerReference r:id="rId3"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fang_song_gb2312">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kai_ti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times_new_roman">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3"/>
      <w:jc w:val="center"/>
    </w:pPr>
    <w:r>
      <w:fldChar w:fldCharType="begin"/>
    </w:r>
    <w:r>
      <w:instrText xml:space="preserve"> PAGE   \* MERGEFORMAT </w:instrText>
    </w:r>
    <w:r>
      <w:fldChar w:fldCharType="separate"/>
    </w:r>
    <w:r>
      <w:rPr>
        <w:lang w:val="zh-CN"/>
      </w:rPr>
      <w:t>23</w:t>
    </w:r>
    <w:r>
      <w:rPr>
        <w:lang w:val="zh-CN"/>
      </w:rPr>
      <w:fldChar w:fldCharType="end"/>
    </w:r>
  </w:p>
  <w:p w14:paraId="2E0A9122">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17494B"/>
    <w:multiLevelType w:val="multilevel"/>
    <w:tmpl w:val="B117494B"/>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E5F82F46"/>
    <w:multiLevelType w:val="singleLevel"/>
    <w:tmpl w:val="E5F82F46"/>
    <w:lvl w:ilvl="0" w:tentative="0">
      <w:start w:val="1"/>
      <w:numFmt w:val="decimal"/>
      <w:suff w:val="nothing"/>
      <w:lvlText w:val="%1．"/>
      <w:lvlJc w:val="left"/>
    </w:lvl>
  </w:abstractNum>
  <w:abstractNum w:abstractNumId="2">
    <w:nsid w:val="4D93DB31"/>
    <w:multiLevelType w:val="singleLevel"/>
    <w:tmpl w:val="4D93DB31"/>
    <w:lvl w:ilvl="0" w:tentative="0">
      <w:start w:val="5"/>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lMGU1NGQwNzk2ZGQ3NjkzMGM1MTcxYmJkNmVhMTY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C394C"/>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7C07928"/>
    <w:rsid w:val="0EA722D1"/>
    <w:rsid w:val="0F0F52F4"/>
    <w:rsid w:val="14F50BCF"/>
    <w:rsid w:val="1C8A1673"/>
    <w:rsid w:val="1CE43456"/>
    <w:rsid w:val="253C78E8"/>
    <w:rsid w:val="2D877B0B"/>
    <w:rsid w:val="2F353B56"/>
    <w:rsid w:val="30504366"/>
    <w:rsid w:val="3A210C08"/>
    <w:rsid w:val="41843520"/>
    <w:rsid w:val="46380407"/>
    <w:rsid w:val="532A54FF"/>
    <w:rsid w:val="53EA2853"/>
    <w:rsid w:val="5AC1269B"/>
    <w:rsid w:val="5B4C0A00"/>
    <w:rsid w:val="5BED3DA0"/>
    <w:rsid w:val="65DC1F14"/>
    <w:rsid w:val="683447BF"/>
    <w:rsid w:val="6DB951F2"/>
    <w:rsid w:val="6E85514E"/>
    <w:rsid w:val="6EFA6855"/>
    <w:rsid w:val="79092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qFormat/>
    <w:uiPriority w:val="0"/>
    <w:pPr>
      <w:keepNext/>
      <w:keepLines/>
      <w:spacing w:before="260" w:after="260" w:line="416" w:lineRule="auto"/>
      <w:outlineLvl w:val="2"/>
    </w:pPr>
    <w:rPr>
      <w:b/>
      <w:bCs/>
      <w:sz w:val="32"/>
      <w:szCs w:val="32"/>
    </w:rPr>
  </w:style>
  <w:style w:type="paragraph" w:styleId="5">
    <w:name w:val="heading 4"/>
    <w:basedOn w:val="1"/>
    <w:next w:val="1"/>
    <w:link w:val="26"/>
    <w:qFormat/>
    <w:uiPriority w:val="0"/>
    <w:pPr>
      <w:keepNext/>
      <w:keepLines/>
      <w:spacing w:before="280" w:after="290" w:line="376" w:lineRule="auto"/>
      <w:outlineLvl w:val="3"/>
    </w:pPr>
    <w:rPr>
      <w:rFonts w:ascii="Cambria" w:hAnsi="Cambria"/>
      <w:b/>
      <w:bCs/>
      <w:sz w:val="28"/>
      <w:szCs w:val="28"/>
    </w:rPr>
  </w:style>
  <w:style w:type="character" w:default="1" w:styleId="23">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Body Text"/>
    <w:basedOn w:val="1"/>
    <w:qFormat/>
    <w:uiPriority w:val="0"/>
    <w:pPr>
      <w:keepNext w:val="0"/>
      <w:keepLines w:val="0"/>
      <w:widowControl/>
      <w:suppressLineNumbers w:val="0"/>
      <w:spacing w:before="0" w:beforeAutospacing="0" w:after="0" w:afterAutospacing="0"/>
      <w:ind w:left="0" w:right="0"/>
      <w:jc w:val="left"/>
    </w:pPr>
    <w:rPr>
      <w:rFonts w:hint="default" w:ascii="Arial" w:hAnsi="Arial" w:eastAsia="宋体" w:cs="Arial"/>
      <w:kern w:val="0"/>
      <w:sz w:val="21"/>
      <w:szCs w:val="21"/>
      <w:lang w:val="en-US" w:eastAsia="zh-CN" w:bidi="ar"/>
    </w:rPr>
  </w:style>
  <w:style w:type="paragraph" w:styleId="9">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10">
    <w:name w:val="toc 5"/>
    <w:basedOn w:val="1"/>
    <w:next w:val="1"/>
    <w:autoRedefine/>
    <w:qFormat/>
    <w:uiPriority w:val="0"/>
    <w:pPr>
      <w:ind w:left="840"/>
      <w:jc w:val="left"/>
    </w:pPr>
    <w:rPr>
      <w:sz w:val="20"/>
      <w:szCs w:val="20"/>
    </w:rPr>
  </w:style>
  <w:style w:type="paragraph" w:styleId="11">
    <w:name w:val="toc 3"/>
    <w:basedOn w:val="1"/>
    <w:next w:val="1"/>
    <w:qFormat/>
    <w:uiPriority w:val="0"/>
    <w:pPr>
      <w:adjustRightInd w:val="0"/>
      <w:snapToGrid w:val="0"/>
      <w:spacing w:line="360" w:lineRule="auto"/>
      <w:ind w:firstLine="400" w:firstLineChars="400"/>
      <w:jc w:val="left"/>
    </w:pPr>
    <w:rPr>
      <w:sz w:val="24"/>
      <w:szCs w:val="20"/>
    </w:rPr>
  </w:style>
  <w:style w:type="paragraph" w:styleId="12">
    <w:name w:val="toc 8"/>
    <w:basedOn w:val="1"/>
    <w:next w:val="1"/>
    <w:autoRedefine/>
    <w:qFormat/>
    <w:uiPriority w:val="0"/>
    <w:pPr>
      <w:ind w:left="1470"/>
      <w:jc w:val="left"/>
    </w:pPr>
    <w:rPr>
      <w:sz w:val="20"/>
      <w:szCs w:val="20"/>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snapToGrid w:val="0"/>
      <w:spacing w:line="360" w:lineRule="auto"/>
      <w:jc w:val="left"/>
    </w:pPr>
    <w:rPr>
      <w:b/>
      <w:bCs/>
      <w:sz w:val="24"/>
      <w:szCs w:val="20"/>
    </w:rPr>
  </w:style>
  <w:style w:type="paragraph" w:styleId="16">
    <w:name w:val="toc 4"/>
    <w:basedOn w:val="1"/>
    <w:next w:val="1"/>
    <w:autoRedefine/>
    <w:qFormat/>
    <w:uiPriority w:val="0"/>
    <w:pPr>
      <w:ind w:left="630"/>
      <w:jc w:val="left"/>
    </w:pPr>
    <w:rPr>
      <w:sz w:val="20"/>
      <w:szCs w:val="20"/>
    </w:rPr>
  </w:style>
  <w:style w:type="paragraph" w:styleId="17">
    <w:name w:val="toc 6"/>
    <w:basedOn w:val="1"/>
    <w:next w:val="1"/>
    <w:autoRedefine/>
    <w:qFormat/>
    <w:uiPriority w:val="0"/>
    <w:pPr>
      <w:ind w:left="1050"/>
      <w:jc w:val="left"/>
    </w:pPr>
    <w:rPr>
      <w:sz w:val="20"/>
      <w:szCs w:val="20"/>
    </w:rPr>
  </w:style>
  <w:style w:type="paragraph" w:styleId="18">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9">
    <w:name w:val="toc 9"/>
    <w:basedOn w:val="1"/>
    <w:next w:val="1"/>
    <w:autoRedefine/>
    <w:qFormat/>
    <w:uiPriority w:val="0"/>
    <w:pPr>
      <w:ind w:left="1680"/>
      <w:jc w:val="left"/>
    </w:pPr>
    <w:rPr>
      <w:sz w:val="20"/>
      <w:szCs w:val="20"/>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Body Text First Indent 2"/>
    <w:basedOn w:val="9"/>
    <w:qFormat/>
    <w:uiPriority w:val="0"/>
    <w:pPr>
      <w:ind w:firstLine="420"/>
    </w:pPr>
  </w:style>
  <w:style w:type="character" w:styleId="24">
    <w:name w:val="page number"/>
    <w:basedOn w:val="23"/>
    <w:qFormat/>
    <w:uiPriority w:val="0"/>
  </w:style>
  <w:style w:type="character" w:styleId="25">
    <w:name w:val="Hyperlink"/>
    <w:basedOn w:val="23"/>
    <w:qFormat/>
    <w:uiPriority w:val="0"/>
    <w:rPr>
      <w:color w:val="0000FF"/>
      <w:u w:val="single"/>
    </w:rPr>
  </w:style>
  <w:style w:type="character" w:customStyle="1" w:styleId="26">
    <w:name w:val="标题 4 字符"/>
    <w:basedOn w:val="23"/>
    <w:link w:val="5"/>
    <w:qFormat/>
    <w:uiPriority w:val="0"/>
    <w:rPr>
      <w:rFonts w:ascii="Cambria" w:hAnsi="Cambria"/>
      <w:b/>
      <w:bCs/>
      <w:kern w:val="2"/>
      <w:sz w:val="28"/>
      <w:szCs w:val="28"/>
    </w:rPr>
  </w:style>
  <w:style w:type="paragraph" w:styleId="27">
    <w:name w:val="No Spacing"/>
    <w:link w:val="28"/>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8">
    <w:name w:val="无间隔 字符"/>
    <w:link w:val="27"/>
    <w:qFormat/>
    <w:locked/>
    <w:uiPriority w:val="0"/>
    <w:rPr>
      <w:rFonts w:eastAsia="仿宋_GB2312"/>
      <w:sz w:val="30"/>
      <w:szCs w:val="22"/>
      <w:lang w:bidi="ar-SA"/>
    </w:rPr>
  </w:style>
  <w:style w:type="character" w:customStyle="1" w:styleId="29">
    <w:name w:val="页脚 字符"/>
    <w:basedOn w:val="23"/>
    <w:link w:val="13"/>
    <w:qFormat/>
    <w:uiPriority w:val="0"/>
    <w:rPr>
      <w:kern w:val="2"/>
      <w:sz w:val="18"/>
      <w:szCs w:val="18"/>
    </w:rPr>
  </w:style>
  <w:style w:type="paragraph" w:styleId="30">
    <w:name w:val="List Paragraph"/>
    <w:basedOn w:val="1"/>
    <w:qFormat/>
    <w:uiPriority w:val="0"/>
    <w:pPr>
      <w:ind w:firstLine="420" w:firstLineChars="200"/>
    </w:pPr>
  </w:style>
  <w:style w:type="character" w:customStyle="1" w:styleId="31">
    <w:name w:val="标题 3 字符"/>
    <w:basedOn w:val="23"/>
    <w:link w:val="4"/>
    <w:qFormat/>
    <w:uiPriority w:val="0"/>
    <w:rPr>
      <w:b/>
      <w:bCs/>
      <w:kern w:val="2"/>
      <w:sz w:val="32"/>
      <w:szCs w:val="32"/>
    </w:rPr>
  </w:style>
  <w:style w:type="paragraph" w:customStyle="1" w:styleId="32">
    <w:name w:val="正文首行缩进 21"/>
    <w:basedOn w:val="33"/>
    <w:autoRedefine/>
    <w:qFormat/>
    <w:uiPriority w:val="0"/>
    <w:pPr>
      <w:ind w:firstLine="420" w:firstLineChars="200"/>
    </w:pPr>
  </w:style>
  <w:style w:type="paragraph" w:customStyle="1" w:styleId="33">
    <w:name w:val="正文文本缩进1"/>
    <w:basedOn w:val="1"/>
    <w:autoRedefine/>
    <w:qFormat/>
    <w:uiPriority w:val="0"/>
    <w:pPr>
      <w:ind w:left="420" w:leftChars="200"/>
    </w:pPr>
    <w:rPr>
      <w:rFonts w:cs="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1475;&#23736;&#20915;&#31639;&#20844;&#24320;\&#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1475;&#23736;&#20915;&#31639;&#20844;&#24320;\&#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收入决算表</a:t>
            </a:r>
          </a:p>
        </c:rich>
      </c:tx>
      <c:layout>
        <c:manualLayout>
          <c:xMode val="edge"/>
          <c:yMode val="edge"/>
          <c:x val="0.454210526315789"/>
          <c:y val="0.0277777777777778"/>
        </c:manualLayout>
      </c:layout>
      <c:overlay val="0"/>
      <c:spPr>
        <a:noFill/>
        <a:ln>
          <a:noFill/>
        </a:ln>
        <a:effectLst/>
      </c:spPr>
    </c:title>
    <c:autoTitleDeleted val="0"/>
    <c:plotArea>
      <c:layout/>
      <c:pieChart>
        <c:varyColors val="1"/>
        <c:ser>
          <c:idx val="1"/>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numFmt formatCode="0.00%"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bg1"/>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工作表.xlsx]Sheet1'!$A$1:$A$3</c:f>
              <c:strCache>
                <c:ptCount val="3"/>
                <c:pt idx="0">
                  <c:v>一般公共预算财政拨款收入</c:v>
                </c:pt>
                <c:pt idx="1">
                  <c:v>政府性基金预算财政拨款收入</c:v>
                </c:pt>
                <c:pt idx="2">
                  <c:v>国有资本经营预算财政拨款收入</c:v>
                </c:pt>
              </c:strCache>
            </c:strRef>
          </c:cat>
          <c:val>
            <c:numRef>
              <c:f>'[新建 XLSX 工作表.xlsx]Sheet1'!$B$1:$B$3</c:f>
              <c:numCache>
                <c:formatCode>0.00%</c:formatCode>
                <c:ptCount val="3"/>
                <c:pt idx="0">
                  <c:v>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支出决算图</a:t>
            </a:r>
          </a:p>
        </c:rich>
      </c:tx>
      <c:layout>
        <c:manualLayout>
          <c:xMode val="edge"/>
          <c:yMode val="edge"/>
          <c:x val="0.454210526315789"/>
          <c:y val="0.0277777777777778"/>
        </c:manualLayout>
      </c:layout>
      <c:overlay val="0"/>
      <c:spPr>
        <a:noFill/>
        <a:ln>
          <a:noFill/>
        </a:ln>
        <a:effectLst/>
      </c:spPr>
    </c:title>
    <c:autoTitleDeleted val="0"/>
    <c:plotArea>
      <c:layout/>
      <c:pieChart>
        <c:varyColors val="1"/>
        <c:ser>
          <c:idx val="1"/>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numFmt formatCode="0.00%"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bg1"/>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工作表.xlsx]Sheet1'!$A$1:$A$3</c:f>
              <c:strCache>
                <c:ptCount val="3"/>
                <c:pt idx="0">
                  <c:v>基本支出</c:v>
                </c:pt>
                <c:pt idx="1">
                  <c:v>项目支出</c:v>
                </c:pt>
                <c:pt idx="2">
                  <c:v>上缴上级支出</c:v>
                </c:pt>
              </c:strCache>
            </c:strRef>
          </c:cat>
          <c:val>
            <c:numRef>
              <c:f>'[新建 XLSX 工作表.xlsx]Sheet1'!$B$1:$B$3</c:f>
              <c:numCache>
                <c:formatCode>0.00%</c:formatCode>
                <c:ptCount val="3"/>
                <c:pt idx="0">
                  <c:v>0.4368</c:v>
                </c:pt>
                <c:pt idx="1">
                  <c:v>0.5632</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9796</Words>
  <Characters>11203</Characters>
  <Lines>1</Lines>
  <Paragraphs>1</Paragraphs>
  <TotalTime>1</TotalTime>
  <ScaleCrop>false</ScaleCrop>
  <LinksUpToDate>false</LinksUpToDate>
  <CharactersWithSpaces>11726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知足</cp:lastModifiedBy>
  <cp:lastPrinted>2021-04-16T00:45:00Z</cp:lastPrinted>
  <dcterms:modified xsi:type="dcterms:W3CDTF">2024-09-25T13:45:32Z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2E09E5AB6FB24DD48DB454D256758F3F_12</vt:lpwstr>
  </property>
</Properties>
</file>