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2B499">
      <w:pPr>
        <w:spacing w:line="600" w:lineRule="exact"/>
        <w:jc w:val="center"/>
        <w:rPr>
          <w:rFonts w:eastAsia="黑体" w:cs="宋体"/>
          <w:b/>
          <w:sz w:val="52"/>
          <w:szCs w:val="52"/>
          <w:u w:val="none"/>
        </w:rPr>
      </w:pPr>
    </w:p>
    <w:p w14:paraId="66D38AFC">
      <w:pPr>
        <w:spacing w:line="600" w:lineRule="exact"/>
        <w:jc w:val="center"/>
        <w:rPr>
          <w:rFonts w:eastAsia="黑体" w:cs="宋体"/>
          <w:b/>
          <w:sz w:val="52"/>
          <w:szCs w:val="52"/>
          <w:u w:val="none"/>
        </w:rPr>
      </w:pPr>
    </w:p>
    <w:p w14:paraId="6C427CF2">
      <w:pPr>
        <w:spacing w:line="600" w:lineRule="exact"/>
        <w:jc w:val="left"/>
        <w:rPr>
          <w:rFonts w:ascii="黑体" w:hAnsi="黑体" w:eastAsia="黑体" w:cs="黑体"/>
          <w:b/>
          <w:bCs/>
          <w:sz w:val="32"/>
          <w:szCs w:val="32"/>
          <w:u w:val="none"/>
        </w:rPr>
      </w:pPr>
    </w:p>
    <w:p w14:paraId="091B2174">
      <w:pPr>
        <w:spacing w:line="600" w:lineRule="exact"/>
        <w:jc w:val="left"/>
        <w:rPr>
          <w:rFonts w:ascii="Arial" w:hAnsi="Arial" w:eastAsia="Symbol"/>
          <w:b/>
          <w:bCs/>
          <w:sz w:val="32"/>
          <w:szCs w:val="32"/>
          <w:u w:val="none"/>
        </w:rPr>
      </w:pPr>
    </w:p>
    <w:p w14:paraId="4BF190F7">
      <w:pPr>
        <w:spacing w:line="600" w:lineRule="exact"/>
        <w:jc w:val="center"/>
        <w:rPr>
          <w:rFonts w:ascii="Arial" w:hAnsi="Arial" w:eastAsia="宋体"/>
          <w:b/>
          <w:bCs/>
          <w:sz w:val="32"/>
          <w:szCs w:val="32"/>
          <w:u w:val="none"/>
        </w:rPr>
      </w:pPr>
    </w:p>
    <w:p w14:paraId="09AEE6C5">
      <w:pPr>
        <w:spacing w:line="600" w:lineRule="exact"/>
        <w:jc w:val="center"/>
        <w:rPr>
          <w:rFonts w:ascii="Arial" w:hAnsi="Arial" w:eastAsia="宋体"/>
          <w:b/>
          <w:bCs/>
          <w:sz w:val="32"/>
          <w:szCs w:val="32"/>
          <w:u w:val="none"/>
        </w:rPr>
      </w:pPr>
    </w:p>
    <w:p w14:paraId="3F70BB51">
      <w:pPr>
        <w:spacing w:line="600" w:lineRule="exact"/>
        <w:jc w:val="center"/>
        <w:rPr>
          <w:rFonts w:ascii="Arial" w:hAnsi="Arial" w:eastAsia="宋体"/>
          <w:b/>
          <w:bCs/>
          <w:sz w:val="32"/>
          <w:szCs w:val="32"/>
          <w:u w:val="none"/>
        </w:rPr>
      </w:pPr>
    </w:p>
    <w:p w14:paraId="2586A798">
      <w:pPr>
        <w:spacing w:line="600" w:lineRule="exact"/>
        <w:jc w:val="center"/>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lang w:eastAsia="zh-CN"/>
        </w:rPr>
        <w:t>202</w:t>
      </w:r>
      <w:r>
        <w:rPr>
          <w:rFonts w:hint="eastAsia" w:ascii="方正小标宋简体" w:hAnsi="方正小标宋简体" w:eastAsia="方正小标宋简体" w:cs="方正小标宋简体"/>
          <w:sz w:val="44"/>
          <w:szCs w:val="44"/>
          <w:u w:val="none"/>
          <w:lang w:val="en-US" w:eastAsia="zh-CN"/>
        </w:rPr>
        <w:t>6</w:t>
      </w:r>
      <w:r>
        <w:rPr>
          <w:rFonts w:hint="eastAsia" w:ascii="方正小标宋简体" w:hAnsi="方正小标宋简体" w:eastAsia="方正小标宋简体" w:cs="方正小标宋简体"/>
          <w:sz w:val="44"/>
          <w:szCs w:val="44"/>
          <w:u w:val="none"/>
          <w:lang w:eastAsia="zh-CN"/>
        </w:rPr>
        <w:t>年度包头市商务局（部门）预算公开</w:t>
      </w:r>
    </w:p>
    <w:p w14:paraId="64273A1D">
      <w:pPr>
        <w:spacing w:line="600" w:lineRule="exact"/>
        <w:jc w:val="center"/>
        <w:rPr>
          <w:rFonts w:hint="eastAsia" w:ascii="方正小标宋简体" w:hAnsi="方正小标宋简体" w:eastAsia="方正小标宋简体" w:cs="方正小标宋简体"/>
          <w:sz w:val="44"/>
          <w:szCs w:val="44"/>
          <w:u w:val="none"/>
          <w:lang w:eastAsia="zh-CN"/>
        </w:rPr>
      </w:pPr>
    </w:p>
    <w:p w14:paraId="1B437AB1">
      <w:pPr>
        <w:adjustRightInd w:val="0"/>
        <w:snapToGrid w:val="0"/>
        <w:spacing w:line="600" w:lineRule="exact"/>
        <w:ind w:firstLine="640"/>
        <w:rPr>
          <w:rFonts w:ascii="仿宋" w:hAnsi="仿宋" w:eastAsia="仿宋"/>
          <w:sz w:val="32"/>
          <w:szCs w:val="32"/>
          <w:u w:val="none"/>
        </w:rPr>
      </w:pPr>
    </w:p>
    <w:p w14:paraId="31280261">
      <w:pPr>
        <w:adjustRightInd w:val="0"/>
        <w:snapToGrid w:val="0"/>
        <w:spacing w:line="600" w:lineRule="exact"/>
        <w:ind w:firstLine="640"/>
        <w:rPr>
          <w:rFonts w:ascii="仿宋" w:hAnsi="仿宋" w:eastAsia="仿宋"/>
          <w:sz w:val="32"/>
          <w:szCs w:val="32"/>
          <w:u w:val="none"/>
        </w:rPr>
      </w:pPr>
    </w:p>
    <w:p w14:paraId="494C5EFA">
      <w:pPr>
        <w:adjustRightInd w:val="0"/>
        <w:snapToGrid w:val="0"/>
        <w:spacing w:line="600" w:lineRule="exact"/>
        <w:ind w:firstLine="640"/>
        <w:rPr>
          <w:rFonts w:ascii="仿宋" w:hAnsi="仿宋" w:eastAsia="仿宋"/>
          <w:sz w:val="32"/>
          <w:szCs w:val="32"/>
          <w:u w:val="none"/>
        </w:rPr>
      </w:pPr>
    </w:p>
    <w:p w14:paraId="5DF30D68">
      <w:pPr>
        <w:adjustRightInd w:val="0"/>
        <w:snapToGrid w:val="0"/>
        <w:spacing w:line="600" w:lineRule="exact"/>
        <w:ind w:firstLine="640"/>
        <w:rPr>
          <w:rFonts w:ascii="仿宋" w:hAnsi="仿宋" w:eastAsia="仿宋"/>
          <w:sz w:val="32"/>
          <w:szCs w:val="32"/>
          <w:u w:val="none"/>
        </w:rPr>
      </w:pPr>
    </w:p>
    <w:p w14:paraId="39D1BCDF">
      <w:pPr>
        <w:adjustRightInd w:val="0"/>
        <w:snapToGrid w:val="0"/>
        <w:spacing w:line="600" w:lineRule="exact"/>
        <w:ind w:firstLine="640"/>
        <w:rPr>
          <w:rFonts w:ascii="仿宋" w:hAnsi="仿宋" w:eastAsia="仿宋"/>
          <w:sz w:val="32"/>
          <w:szCs w:val="32"/>
          <w:u w:val="none"/>
        </w:rPr>
      </w:pPr>
    </w:p>
    <w:p w14:paraId="2CB34F5F">
      <w:pPr>
        <w:adjustRightInd w:val="0"/>
        <w:snapToGrid w:val="0"/>
        <w:spacing w:line="600" w:lineRule="exact"/>
        <w:ind w:firstLine="640"/>
        <w:rPr>
          <w:rFonts w:ascii="仿宋" w:hAnsi="仿宋" w:eastAsia="仿宋"/>
          <w:sz w:val="32"/>
          <w:szCs w:val="32"/>
          <w:u w:val="none"/>
        </w:rPr>
      </w:pPr>
    </w:p>
    <w:p w14:paraId="7F2E26C8">
      <w:pPr>
        <w:adjustRightInd w:val="0"/>
        <w:snapToGrid w:val="0"/>
        <w:spacing w:line="600" w:lineRule="exact"/>
        <w:ind w:firstLine="640"/>
        <w:rPr>
          <w:rFonts w:ascii="仿宋" w:hAnsi="仿宋" w:eastAsia="仿宋"/>
          <w:sz w:val="32"/>
          <w:szCs w:val="32"/>
          <w:u w:val="none"/>
        </w:rPr>
      </w:pPr>
    </w:p>
    <w:p w14:paraId="5F3626FF">
      <w:pPr>
        <w:adjustRightInd w:val="0"/>
        <w:snapToGrid w:val="0"/>
        <w:spacing w:line="600" w:lineRule="exact"/>
        <w:ind w:firstLine="640"/>
        <w:rPr>
          <w:rFonts w:ascii="仿宋" w:hAnsi="仿宋" w:eastAsia="仿宋"/>
          <w:sz w:val="32"/>
          <w:szCs w:val="32"/>
          <w:u w:val="none"/>
        </w:rPr>
      </w:pPr>
    </w:p>
    <w:p w14:paraId="0563471F">
      <w:pPr>
        <w:adjustRightInd w:val="0"/>
        <w:snapToGrid w:val="0"/>
        <w:spacing w:line="600" w:lineRule="exact"/>
        <w:rPr>
          <w:rFonts w:ascii="黑体" w:hAnsi="黑体" w:eastAsia="黑体" w:cs="黑体"/>
          <w:sz w:val="32"/>
          <w:szCs w:val="32"/>
          <w:u w:val="none"/>
        </w:rPr>
      </w:pPr>
    </w:p>
    <w:p w14:paraId="3EE9A100">
      <w:pPr>
        <w:adjustRightInd w:val="0"/>
        <w:snapToGrid w:val="0"/>
        <w:spacing w:line="600" w:lineRule="exact"/>
        <w:jc w:val="center"/>
        <w:rPr>
          <w:rFonts w:ascii="黑体" w:hAnsi="黑体" w:eastAsia="黑体" w:cs="黑体"/>
          <w:sz w:val="32"/>
          <w:szCs w:val="32"/>
          <w:u w:val="none"/>
        </w:rPr>
      </w:pPr>
      <w:r>
        <w:rPr>
          <w:rFonts w:hint="eastAsia" w:ascii="黑体" w:hAnsi="黑体" w:eastAsia="黑体" w:cs="黑体"/>
          <w:sz w:val="32"/>
          <w:szCs w:val="32"/>
          <w:u w:val="none"/>
        </w:rPr>
        <w:t>批复时间：</w:t>
      </w:r>
      <w:r>
        <w:rPr>
          <w:rFonts w:hint="eastAsia" w:ascii="黑体" w:hAnsi="黑体" w:eastAsia="黑体" w:cs="黑体"/>
          <w:sz w:val="32"/>
          <w:szCs w:val="32"/>
          <w:u w:val="none"/>
          <w:lang w:val="en-US" w:eastAsia="zh-CN"/>
        </w:rPr>
        <w:t>2026</w:t>
      </w:r>
      <w:r>
        <w:rPr>
          <w:rFonts w:hint="eastAsia" w:ascii="黑体" w:hAnsi="黑体" w:eastAsia="黑体" w:cs="黑体"/>
          <w:sz w:val="32"/>
          <w:szCs w:val="32"/>
          <w:u w:val="none"/>
        </w:rPr>
        <w:t>年</w:t>
      </w:r>
      <w:r>
        <w:rPr>
          <w:rFonts w:hint="eastAsia" w:ascii="黑体" w:hAnsi="黑体" w:eastAsia="黑体" w:cs="黑体"/>
          <w:sz w:val="32"/>
          <w:szCs w:val="32"/>
          <w:u w:val="none"/>
          <w:lang w:val="en-US" w:eastAsia="zh-CN"/>
        </w:rPr>
        <w:t>02</w:t>
      </w:r>
      <w:r>
        <w:rPr>
          <w:rFonts w:hint="eastAsia" w:ascii="黑体" w:hAnsi="黑体" w:eastAsia="黑体" w:cs="黑体"/>
          <w:sz w:val="32"/>
          <w:szCs w:val="32"/>
          <w:u w:val="none"/>
        </w:rPr>
        <w:t>月</w:t>
      </w:r>
      <w:r>
        <w:rPr>
          <w:rFonts w:hint="eastAsia" w:ascii="黑体" w:hAnsi="黑体" w:eastAsia="黑体" w:cs="黑体"/>
          <w:sz w:val="32"/>
          <w:szCs w:val="32"/>
          <w:u w:val="none"/>
          <w:lang w:val="en-US" w:eastAsia="zh-CN"/>
        </w:rPr>
        <w:t>04</w:t>
      </w:r>
      <w:r>
        <w:rPr>
          <w:rFonts w:hint="eastAsia" w:ascii="黑体" w:hAnsi="黑体" w:eastAsia="黑体" w:cs="黑体"/>
          <w:sz w:val="32"/>
          <w:szCs w:val="32"/>
          <w:u w:val="none"/>
        </w:rPr>
        <w:t>日</w:t>
      </w:r>
    </w:p>
    <w:p w14:paraId="6F61391F">
      <w:pPr>
        <w:pStyle w:val="18"/>
        <w:spacing w:after="0" w:line="600" w:lineRule="exact"/>
        <w:ind w:left="0" w:leftChars="0" w:firstLine="0"/>
        <w:jc w:val="center"/>
        <w:rPr>
          <w:rFonts w:hint="default" w:ascii="黑体" w:hAnsi="黑体" w:eastAsia="黑体" w:cs="黑体"/>
          <w:u w:val="none"/>
        </w:rPr>
      </w:pPr>
      <w:r>
        <w:rPr>
          <w:rFonts w:ascii="黑体" w:hAnsi="黑体" w:eastAsia="黑体" w:cs="黑体"/>
          <w:sz w:val="32"/>
          <w:szCs w:val="32"/>
          <w:u w:val="none"/>
        </w:rPr>
        <w:t>公开时间：</w:t>
      </w:r>
      <w:r>
        <w:rPr>
          <w:rFonts w:hint="eastAsia" w:ascii="黑体" w:hAnsi="黑体" w:eastAsia="黑体" w:cs="黑体"/>
          <w:sz w:val="32"/>
          <w:szCs w:val="32"/>
          <w:u w:val="none"/>
          <w:lang w:val="en-US" w:eastAsia="zh-CN"/>
        </w:rPr>
        <w:t>2026</w:t>
      </w:r>
      <w:r>
        <w:rPr>
          <w:rFonts w:ascii="黑体" w:hAnsi="黑体" w:eastAsia="黑体" w:cs="黑体"/>
          <w:sz w:val="32"/>
          <w:szCs w:val="32"/>
          <w:u w:val="none"/>
        </w:rPr>
        <w:t>年</w:t>
      </w:r>
      <w:r>
        <w:rPr>
          <w:rFonts w:hint="eastAsia" w:ascii="黑体" w:hAnsi="黑体" w:eastAsia="黑体" w:cs="黑体"/>
          <w:sz w:val="32"/>
          <w:szCs w:val="32"/>
          <w:u w:val="none"/>
          <w:lang w:val="en-US" w:eastAsia="zh-CN"/>
        </w:rPr>
        <w:t>02</w:t>
      </w:r>
      <w:r>
        <w:rPr>
          <w:rFonts w:ascii="黑体" w:hAnsi="黑体" w:eastAsia="黑体" w:cs="黑体"/>
          <w:sz w:val="32"/>
          <w:szCs w:val="32"/>
          <w:u w:val="none"/>
        </w:rPr>
        <w:t>月</w:t>
      </w:r>
      <w:r>
        <w:rPr>
          <w:rFonts w:hint="eastAsia" w:ascii="黑体" w:hAnsi="黑体" w:eastAsia="黑体" w:cs="黑体"/>
          <w:sz w:val="32"/>
          <w:szCs w:val="32"/>
          <w:u w:val="none"/>
          <w:lang w:val="en-US" w:eastAsia="zh-CN"/>
        </w:rPr>
        <w:t>05</w:t>
      </w:r>
      <w:r>
        <w:rPr>
          <w:rFonts w:ascii="黑体" w:hAnsi="黑体" w:eastAsia="黑体" w:cs="黑体"/>
          <w:sz w:val="32"/>
          <w:szCs w:val="32"/>
          <w:u w:val="none"/>
        </w:rPr>
        <w:t>日</w:t>
      </w:r>
    </w:p>
    <w:p w14:paraId="6025FC5B">
      <w:pPr>
        <w:adjustRightInd w:val="0"/>
        <w:snapToGrid w:val="0"/>
        <w:spacing w:line="600" w:lineRule="exact"/>
        <w:ind w:firstLine="640"/>
        <w:rPr>
          <w:rFonts w:ascii="仿宋" w:hAnsi="仿宋" w:eastAsia="仿宋"/>
          <w:sz w:val="32"/>
          <w:szCs w:val="32"/>
          <w:u w:val="none"/>
        </w:rPr>
      </w:pPr>
    </w:p>
    <w:p w14:paraId="5C1B352E">
      <w:pPr>
        <w:adjustRightInd w:val="0"/>
        <w:snapToGrid w:val="0"/>
        <w:spacing w:line="600" w:lineRule="exact"/>
        <w:ind w:firstLine="640"/>
        <w:rPr>
          <w:rFonts w:ascii="仿宋" w:hAnsi="仿宋" w:eastAsia="仿宋"/>
          <w:sz w:val="32"/>
          <w:szCs w:val="32"/>
          <w:u w:val="none"/>
        </w:rPr>
      </w:pPr>
    </w:p>
    <w:p w14:paraId="01C49B37">
      <w:pPr>
        <w:adjustRightInd w:val="0"/>
        <w:snapToGrid w:val="0"/>
        <w:spacing w:line="600" w:lineRule="exact"/>
        <w:ind w:firstLine="640"/>
        <w:rPr>
          <w:rFonts w:ascii="仿宋" w:hAnsi="仿宋" w:eastAsia="仿宋"/>
          <w:sz w:val="32"/>
          <w:szCs w:val="32"/>
          <w:u w:val="none"/>
        </w:rPr>
      </w:pPr>
    </w:p>
    <w:p w14:paraId="1966B9E5">
      <w:pPr>
        <w:pStyle w:val="3"/>
        <w:tabs>
          <w:tab w:val="left" w:pos="4533"/>
        </w:tabs>
        <w:spacing w:before="0" w:after="0" w:line="600" w:lineRule="exact"/>
        <w:ind w:firstLine="0" w:firstLineChars="0"/>
        <w:jc w:val="center"/>
        <w:rPr>
          <w:sz w:val="44"/>
          <w:szCs w:val="44"/>
          <w:u w:val="none"/>
        </w:rPr>
      </w:pPr>
      <w:r>
        <w:rPr>
          <w:sz w:val="44"/>
          <w:szCs w:val="44"/>
          <w:u w:val="none"/>
        </w:rPr>
        <w:t>目</w:t>
      </w:r>
      <w:r>
        <w:rPr>
          <w:rFonts w:hint="eastAsia" w:eastAsia="宋体"/>
          <w:sz w:val="44"/>
          <w:szCs w:val="44"/>
          <w:u w:val="none"/>
        </w:rPr>
        <w:t xml:space="preserve">  </w:t>
      </w:r>
      <w:r>
        <w:rPr>
          <w:rFonts w:hint="eastAsia"/>
          <w:sz w:val="44"/>
          <w:szCs w:val="44"/>
          <w:u w:val="none"/>
        </w:rPr>
        <w:t xml:space="preserve">  </w:t>
      </w:r>
      <w:r>
        <w:rPr>
          <w:sz w:val="44"/>
          <w:szCs w:val="44"/>
          <w:u w:val="none"/>
        </w:rPr>
        <w:t>录</w:t>
      </w:r>
    </w:p>
    <w:p w14:paraId="07E2BCC7">
      <w:pPr>
        <w:rPr>
          <w:u w:val="none"/>
        </w:rPr>
      </w:pPr>
    </w:p>
    <w:p w14:paraId="7456BA49">
      <w:pPr>
        <w:pStyle w:val="8"/>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第一部分</w:t>
      </w:r>
      <w:r>
        <w:rPr>
          <w:rFonts w:hint="eastAsia" w:ascii="黑体" w:hAnsi="黑体" w:eastAsia="黑体" w:cs="黑体"/>
          <w:sz w:val="32"/>
          <w:szCs w:val="32"/>
          <w:u w:val="none"/>
          <w:lang w:eastAsia="zh-CN"/>
        </w:rPr>
        <w:t>部门</w:t>
      </w:r>
      <w:r>
        <w:rPr>
          <w:rFonts w:hint="eastAsia" w:ascii="黑体" w:hAnsi="黑体" w:eastAsia="黑体" w:cs="黑体"/>
          <w:sz w:val="32"/>
          <w:szCs w:val="32"/>
          <w:u w:val="none"/>
        </w:rPr>
        <w:t>概况</w:t>
      </w:r>
    </w:p>
    <w:p w14:paraId="365901B7">
      <w:pPr>
        <w:pStyle w:val="8"/>
        <w:spacing w:after="0" w:line="600" w:lineRule="exact"/>
        <w:rPr>
          <w:rFonts w:ascii="仿宋" w:hAnsi="仿宋" w:eastAsia="仿宋" w:cs="仿宋"/>
          <w:sz w:val="32"/>
          <w:szCs w:val="32"/>
          <w:highlight w:val="yellow"/>
          <w:u w:val="none"/>
        </w:rPr>
      </w:pPr>
      <w:r>
        <w:rPr>
          <w:rFonts w:hint="eastAsia" w:ascii="仿宋" w:hAnsi="仿宋" w:eastAsia="仿宋" w:cs="仿宋"/>
          <w:w w:val="95"/>
          <w:sz w:val="32"/>
          <w:szCs w:val="32"/>
          <w:u w:val="none"/>
        </w:rPr>
        <w:t>一、主要职能、职责</w:t>
      </w:r>
    </w:p>
    <w:p w14:paraId="34865AB7">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二、单位机构设置及预算单位构成情况</w:t>
      </w:r>
    </w:p>
    <w:p w14:paraId="7C061289">
      <w:pPr>
        <w:pStyle w:val="8"/>
        <w:spacing w:after="0" w:line="600" w:lineRule="exact"/>
        <w:rPr>
          <w:rFonts w:ascii="黑体" w:hAnsi="黑体" w:eastAsia="黑体" w:cs="黑体"/>
          <w:sz w:val="32"/>
          <w:szCs w:val="32"/>
          <w:u w:val="none"/>
        </w:rPr>
      </w:pPr>
      <w:r>
        <w:rPr>
          <w:rFonts w:hint="eastAsia" w:ascii="仿宋" w:hAnsi="仿宋" w:eastAsia="仿宋" w:cs="仿宋"/>
          <w:sz w:val="32"/>
          <w:szCs w:val="32"/>
          <w:u w:val="none"/>
        </w:rPr>
        <w:t>三、202</w:t>
      </w:r>
      <w:r>
        <w:rPr>
          <w:rFonts w:hint="eastAsia" w:ascii="仿宋" w:hAnsi="仿宋" w:eastAsia="仿宋" w:cs="仿宋"/>
          <w:sz w:val="32"/>
          <w:szCs w:val="32"/>
          <w:u w:val="none"/>
          <w:lang w:val="en-US" w:eastAsia="zh-CN"/>
        </w:rPr>
        <w:t>6</w:t>
      </w:r>
      <w:r>
        <w:rPr>
          <w:rFonts w:hint="eastAsia" w:ascii="仿宋" w:hAnsi="仿宋" w:eastAsia="仿宋" w:cs="仿宋"/>
          <w:sz w:val="32"/>
          <w:szCs w:val="32"/>
          <w:u w:val="none"/>
        </w:rPr>
        <w:t>年度</w:t>
      </w:r>
      <w:r>
        <w:rPr>
          <w:rFonts w:hint="eastAsia" w:ascii="仿宋" w:hAnsi="仿宋" w:eastAsia="仿宋" w:cs="仿宋"/>
          <w:sz w:val="32"/>
          <w:szCs w:val="32"/>
          <w:u w:val="none"/>
          <w:lang w:eastAsia="zh-CN"/>
        </w:rPr>
        <w:t>部门</w:t>
      </w:r>
      <w:r>
        <w:rPr>
          <w:rFonts w:hint="eastAsia" w:ascii="仿宋" w:hAnsi="仿宋" w:eastAsia="仿宋" w:cs="仿宋"/>
          <w:sz w:val="32"/>
          <w:szCs w:val="32"/>
          <w:u w:val="none"/>
        </w:rPr>
        <w:t>主要工作任务及目标</w:t>
      </w:r>
    </w:p>
    <w:p w14:paraId="0B48A1F9">
      <w:pPr>
        <w:pStyle w:val="8"/>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第二部分 202</w:t>
      </w:r>
      <w:r>
        <w:rPr>
          <w:rFonts w:hint="eastAsia" w:ascii="黑体" w:hAnsi="黑体" w:eastAsia="黑体" w:cs="黑体"/>
          <w:sz w:val="32"/>
          <w:szCs w:val="32"/>
          <w:u w:val="none"/>
          <w:lang w:val="en-US" w:eastAsia="zh-CN"/>
        </w:rPr>
        <w:t>6</w:t>
      </w:r>
      <w:r>
        <w:rPr>
          <w:rFonts w:hint="eastAsia" w:ascii="黑体" w:hAnsi="黑体" w:eastAsia="黑体" w:cs="黑体"/>
          <w:sz w:val="32"/>
          <w:szCs w:val="32"/>
          <w:u w:val="none"/>
        </w:rPr>
        <w:t>年度</w:t>
      </w:r>
      <w:r>
        <w:rPr>
          <w:rFonts w:hint="eastAsia" w:ascii="黑体" w:hAnsi="黑体" w:eastAsia="黑体" w:cs="黑体"/>
          <w:sz w:val="32"/>
          <w:szCs w:val="32"/>
          <w:u w:val="none"/>
          <w:lang w:eastAsia="zh-CN"/>
        </w:rPr>
        <w:t>部门</w:t>
      </w:r>
      <w:r>
        <w:rPr>
          <w:rFonts w:hint="eastAsia" w:ascii="黑体" w:hAnsi="黑体" w:eastAsia="黑体" w:cs="黑体"/>
          <w:sz w:val="32"/>
          <w:szCs w:val="32"/>
          <w:u w:val="none"/>
        </w:rPr>
        <w:t>预算情况说明</w:t>
      </w:r>
    </w:p>
    <w:p w14:paraId="533DCFBA">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一、收支预算总体情况说明</w:t>
      </w:r>
    </w:p>
    <w:p w14:paraId="63688A59">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二、收入预算情况说明</w:t>
      </w:r>
    </w:p>
    <w:p w14:paraId="7294D11E">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三、支出预算情况说明</w:t>
      </w:r>
    </w:p>
    <w:p w14:paraId="74369FF1">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四、财政拨款收支预算总体情况说明</w:t>
      </w:r>
    </w:p>
    <w:p w14:paraId="5974F88F">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五、一般公共预算支出预算情况说明</w:t>
      </w:r>
    </w:p>
    <w:p w14:paraId="47C64700">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六、一般公共预算基本支出预算情况说明</w:t>
      </w:r>
    </w:p>
    <w:p w14:paraId="06C46DD2">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七、一般公共预算“三公”经费支出预算情况说明</w:t>
      </w:r>
    </w:p>
    <w:p w14:paraId="53617C2A">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八、政府性基金预算支出预算情况说明</w:t>
      </w:r>
    </w:p>
    <w:p w14:paraId="4D9A50B1">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九、国有资本经营预算支出预算情况说明</w:t>
      </w:r>
    </w:p>
    <w:p w14:paraId="263F70E4">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十、项目支出预算情况说明</w:t>
      </w:r>
    </w:p>
    <w:p w14:paraId="584800CD">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十一、一般公共预算机关运行经费支出预算情况说明</w:t>
      </w:r>
    </w:p>
    <w:p w14:paraId="0FE8C5C1">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十二、政府采购支出预算情况说明</w:t>
      </w:r>
    </w:p>
    <w:p w14:paraId="1D751A97">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十三、国有资产占用情况说明</w:t>
      </w:r>
    </w:p>
    <w:p w14:paraId="23B0CB8F">
      <w:pPr>
        <w:widowControl/>
        <w:spacing w:line="600" w:lineRule="exact"/>
        <w:jc w:val="left"/>
        <w:rPr>
          <w:rFonts w:ascii="仿宋" w:hAnsi="仿宋" w:eastAsia="仿宋" w:cs="仿宋"/>
          <w:sz w:val="32"/>
          <w:szCs w:val="32"/>
          <w:u w:val="none"/>
        </w:rPr>
      </w:pPr>
      <w:r>
        <w:rPr>
          <w:rFonts w:hint="eastAsia" w:ascii="仿宋" w:hAnsi="仿宋" w:eastAsia="仿宋" w:cs="仿宋"/>
          <w:sz w:val="32"/>
          <w:szCs w:val="32"/>
          <w:u w:val="none"/>
        </w:rPr>
        <w:t xml:space="preserve">十四、项目绩效目标情况说明 </w:t>
      </w:r>
    </w:p>
    <w:p w14:paraId="12F6E793">
      <w:pPr>
        <w:pStyle w:val="8"/>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第三部分 名词解释</w:t>
      </w:r>
    </w:p>
    <w:p w14:paraId="5CEDACB4">
      <w:pPr>
        <w:pStyle w:val="8"/>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第四部分 预算公开联系方式及信息反馈渠道</w:t>
      </w:r>
    </w:p>
    <w:p w14:paraId="343170F1">
      <w:pPr>
        <w:pStyle w:val="8"/>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第五部分 202</w:t>
      </w:r>
      <w:r>
        <w:rPr>
          <w:rFonts w:hint="eastAsia" w:ascii="黑体" w:hAnsi="黑体" w:eastAsia="黑体" w:cs="黑体"/>
          <w:sz w:val="32"/>
          <w:szCs w:val="32"/>
          <w:u w:val="none"/>
          <w:lang w:val="en-US" w:eastAsia="zh-CN"/>
        </w:rPr>
        <w:t>6</w:t>
      </w:r>
      <w:r>
        <w:rPr>
          <w:rFonts w:hint="eastAsia" w:ascii="黑体" w:hAnsi="黑体" w:eastAsia="黑体" w:cs="黑体"/>
          <w:sz w:val="32"/>
          <w:szCs w:val="32"/>
          <w:u w:val="none"/>
        </w:rPr>
        <w:t>年度</w:t>
      </w:r>
      <w:r>
        <w:rPr>
          <w:rFonts w:hint="eastAsia" w:ascii="黑体" w:hAnsi="黑体" w:eastAsia="黑体" w:cs="黑体"/>
          <w:sz w:val="32"/>
          <w:szCs w:val="32"/>
          <w:u w:val="none"/>
          <w:lang w:eastAsia="zh-CN"/>
        </w:rPr>
        <w:t>部门</w:t>
      </w:r>
      <w:r>
        <w:rPr>
          <w:rFonts w:hint="eastAsia" w:ascii="黑体" w:hAnsi="黑体" w:eastAsia="黑体" w:cs="黑体"/>
          <w:sz w:val="32"/>
          <w:szCs w:val="32"/>
          <w:u w:val="none"/>
        </w:rPr>
        <w:t>预算表</w:t>
      </w:r>
    </w:p>
    <w:p w14:paraId="0273183C">
      <w:pPr>
        <w:pStyle w:val="8"/>
        <w:numPr>
          <w:ilvl w:val="0"/>
          <w:numId w:val="1"/>
        </w:numPr>
        <w:spacing w:after="0" w:line="600" w:lineRule="exact"/>
        <w:rPr>
          <w:rFonts w:ascii="仿宋" w:hAnsi="仿宋" w:eastAsia="仿宋" w:cs="仿宋"/>
          <w:sz w:val="32"/>
          <w:szCs w:val="32"/>
          <w:u w:val="none"/>
        </w:rPr>
      </w:pPr>
      <w:r>
        <w:rPr>
          <w:rFonts w:hint="eastAsia" w:ascii="仿宋" w:hAnsi="仿宋" w:eastAsia="仿宋" w:cs="仿宋"/>
          <w:sz w:val="32"/>
          <w:szCs w:val="32"/>
          <w:u w:val="none"/>
        </w:rPr>
        <w:t>收支总表</w:t>
      </w:r>
    </w:p>
    <w:p w14:paraId="287036BB">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二、收入总表</w:t>
      </w:r>
    </w:p>
    <w:p w14:paraId="2B83AB40">
      <w:pPr>
        <w:pStyle w:val="8"/>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三、支出总表</w:t>
      </w:r>
    </w:p>
    <w:p w14:paraId="3E1CBE8D">
      <w:pPr>
        <w:pStyle w:val="8"/>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四、财政拨款收支总表</w:t>
      </w:r>
    </w:p>
    <w:p w14:paraId="695754C2">
      <w:pPr>
        <w:pStyle w:val="8"/>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五、一般公共预算支出表</w:t>
      </w:r>
    </w:p>
    <w:p w14:paraId="0071AAE0">
      <w:pPr>
        <w:pStyle w:val="8"/>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六、一般公共预算基本支出表</w:t>
      </w:r>
    </w:p>
    <w:p w14:paraId="0358E34D">
      <w:pPr>
        <w:pStyle w:val="8"/>
        <w:spacing w:after="0" w:line="600" w:lineRule="exact"/>
        <w:rPr>
          <w:rFonts w:ascii="仿宋" w:hAnsi="仿宋" w:eastAsia="仿宋" w:cs="仿宋"/>
          <w:spacing w:val="-16"/>
          <w:w w:val="95"/>
          <w:sz w:val="32"/>
          <w:szCs w:val="32"/>
          <w:u w:val="none"/>
        </w:rPr>
      </w:pPr>
      <w:r>
        <w:rPr>
          <w:rFonts w:hint="eastAsia" w:ascii="仿宋" w:hAnsi="仿宋" w:eastAsia="仿宋" w:cs="仿宋"/>
          <w:spacing w:val="-17"/>
          <w:w w:val="95"/>
          <w:sz w:val="32"/>
          <w:szCs w:val="32"/>
          <w:u w:val="none"/>
        </w:rPr>
        <w:t>七、一般公共预算</w:t>
      </w:r>
      <w:r>
        <w:rPr>
          <w:rFonts w:hint="eastAsia" w:ascii="仿宋" w:hAnsi="仿宋" w:eastAsia="仿宋" w:cs="仿宋"/>
          <w:spacing w:val="-8"/>
          <w:w w:val="95"/>
          <w:sz w:val="32"/>
          <w:szCs w:val="32"/>
          <w:u w:val="none"/>
        </w:rPr>
        <w:t>“</w:t>
      </w:r>
      <w:r>
        <w:rPr>
          <w:rFonts w:hint="eastAsia" w:ascii="仿宋" w:hAnsi="仿宋" w:eastAsia="仿宋" w:cs="仿宋"/>
          <w:spacing w:val="-15"/>
          <w:w w:val="95"/>
          <w:sz w:val="32"/>
          <w:szCs w:val="32"/>
          <w:u w:val="none"/>
        </w:rPr>
        <w:t>三公</w:t>
      </w:r>
      <w:r>
        <w:rPr>
          <w:rFonts w:hint="eastAsia" w:ascii="仿宋" w:hAnsi="仿宋" w:eastAsia="仿宋" w:cs="仿宋"/>
          <w:spacing w:val="-10"/>
          <w:w w:val="95"/>
          <w:sz w:val="32"/>
          <w:szCs w:val="32"/>
          <w:u w:val="none"/>
        </w:rPr>
        <w:t>”</w:t>
      </w:r>
      <w:r>
        <w:rPr>
          <w:rFonts w:hint="eastAsia" w:ascii="仿宋" w:hAnsi="仿宋" w:eastAsia="仿宋" w:cs="仿宋"/>
          <w:spacing w:val="-16"/>
          <w:w w:val="95"/>
          <w:sz w:val="32"/>
          <w:szCs w:val="32"/>
          <w:u w:val="none"/>
        </w:rPr>
        <w:t>经费支出表</w:t>
      </w:r>
    </w:p>
    <w:p w14:paraId="6339EA5E">
      <w:pPr>
        <w:pStyle w:val="8"/>
        <w:spacing w:after="0" w:line="600" w:lineRule="exact"/>
        <w:rPr>
          <w:rFonts w:ascii="仿宋" w:hAnsi="仿宋" w:eastAsia="仿宋" w:cs="仿宋"/>
          <w:sz w:val="32"/>
          <w:szCs w:val="32"/>
          <w:u w:val="none"/>
        </w:rPr>
      </w:pPr>
      <w:r>
        <w:rPr>
          <w:rFonts w:hint="eastAsia" w:ascii="仿宋" w:hAnsi="仿宋" w:eastAsia="仿宋" w:cs="仿宋"/>
          <w:spacing w:val="-16"/>
          <w:w w:val="95"/>
          <w:sz w:val="32"/>
          <w:szCs w:val="32"/>
          <w:u w:val="none"/>
        </w:rPr>
        <w:t>八、政府性基金预算支出表</w:t>
      </w:r>
    </w:p>
    <w:p w14:paraId="21C0BB98">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九、国有资本经营预算支出表</w:t>
      </w:r>
    </w:p>
    <w:p w14:paraId="43996FB7">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十、项目支出表</w:t>
      </w:r>
    </w:p>
    <w:p w14:paraId="721347F7">
      <w:pPr>
        <w:pStyle w:val="8"/>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十一、项目绩效目标表</w:t>
      </w:r>
    </w:p>
    <w:p w14:paraId="08E4BD84">
      <w:pPr>
        <w:pStyle w:val="8"/>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十二、政府采购预算表</w:t>
      </w:r>
    </w:p>
    <w:p w14:paraId="5E789BCA">
      <w:pPr>
        <w:pStyle w:val="18"/>
        <w:spacing w:after="0" w:line="600" w:lineRule="exact"/>
        <w:rPr>
          <w:rFonts w:hint="default"/>
          <w:u w:val="none"/>
        </w:rPr>
        <w:sectPr>
          <w:headerReference r:id="rId3" w:type="default"/>
          <w:footerReference r:id="rId4" w:type="default"/>
          <w:pgSz w:w="11910" w:h="16840"/>
          <w:pgMar w:top="1582" w:right="1680" w:bottom="278" w:left="1640" w:header="720" w:footer="720" w:gutter="0"/>
          <w:pgNumType w:fmt="numberInDash"/>
          <w:cols w:space="0" w:num="1"/>
        </w:sectPr>
      </w:pPr>
    </w:p>
    <w:p w14:paraId="0DA6FDE9">
      <w:pPr>
        <w:pStyle w:val="5"/>
        <w:tabs>
          <w:tab w:val="left" w:pos="4392"/>
        </w:tabs>
        <w:spacing w:before="0" w:after="0" w:line="600" w:lineRule="exact"/>
        <w:jc w:val="center"/>
        <w:rPr>
          <w:rFonts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 xml:space="preserve">第一部分  </w:t>
      </w:r>
      <w:r>
        <w:rPr>
          <w:rFonts w:hint="eastAsia" w:ascii="方正小标宋简体" w:hAnsi="方正小标宋简体" w:eastAsia="方正小标宋简体" w:cs="方正小标宋简体"/>
          <w:b w:val="0"/>
          <w:bCs w:val="0"/>
          <w:sz w:val="36"/>
          <w:szCs w:val="36"/>
          <w:u w:val="none"/>
          <w:lang w:eastAsia="zh-CN"/>
        </w:rPr>
        <w:t>部门</w:t>
      </w:r>
      <w:r>
        <w:rPr>
          <w:rFonts w:hint="eastAsia" w:ascii="方正小标宋简体" w:hAnsi="方正小标宋简体" w:eastAsia="方正小标宋简体" w:cs="方正小标宋简体"/>
          <w:b w:val="0"/>
          <w:bCs w:val="0"/>
          <w:sz w:val="36"/>
          <w:szCs w:val="36"/>
          <w:u w:val="none"/>
        </w:rPr>
        <w:t>概况</w:t>
      </w:r>
    </w:p>
    <w:p w14:paraId="29EECEE4">
      <w:pPr>
        <w:spacing w:line="600" w:lineRule="exact"/>
        <w:rPr>
          <w:rFonts w:ascii="方正小标宋简体" w:hAnsi="方正小标宋简体" w:eastAsia="方正小标宋简体" w:cs="方正小标宋简体"/>
          <w:sz w:val="36"/>
          <w:szCs w:val="36"/>
          <w:u w:val="none"/>
        </w:rPr>
      </w:pPr>
    </w:p>
    <w:p w14:paraId="1CE27D4E">
      <w:pPr>
        <w:numPr>
          <w:ilvl w:val="0"/>
          <w:numId w:val="2"/>
        </w:numPr>
        <w:spacing w:line="600" w:lineRule="exact"/>
        <w:ind w:left="17" w:leftChars="8" w:firstLine="624" w:firstLineChars="195"/>
        <w:outlineLvl w:val="0"/>
        <w:rPr>
          <w:rFonts w:eastAsia="黑体" w:cs="黑体"/>
          <w:sz w:val="32"/>
          <w:szCs w:val="36"/>
          <w:highlight w:val="none"/>
          <w:u w:val="none"/>
        </w:rPr>
      </w:pPr>
      <w:r>
        <w:rPr>
          <w:rFonts w:hint="eastAsia" w:eastAsia="黑体" w:cs="黑体"/>
          <w:sz w:val="32"/>
          <w:szCs w:val="36"/>
          <w:highlight w:val="none"/>
          <w:u w:val="none"/>
        </w:rPr>
        <w:t>主要职能职责</w:t>
      </w:r>
    </w:p>
    <w:p w14:paraId="65BB7380">
      <w:pPr>
        <w:adjustRightInd w:val="0"/>
        <w:snapToGrid w:val="0"/>
        <w:spacing w:before="96" w:line="560" w:lineRule="exact"/>
        <w:ind w:left="700"/>
        <w:jc w:val="left"/>
        <w:rPr>
          <w:rFonts w:ascii="Microsoft JhengHei" w:eastAsia="Microsoft JhengHei"/>
          <w:b/>
          <w:sz w:val="30"/>
          <w:u w:val="none"/>
        </w:rPr>
      </w:pPr>
      <w:r>
        <w:rPr>
          <w:rFonts w:hint="eastAsia" w:ascii="Microsoft JhengHei" w:eastAsia="Microsoft JhengHei"/>
          <w:b/>
          <w:sz w:val="30"/>
          <w:u w:val="none"/>
        </w:rPr>
        <w:t>（一）</w:t>
      </w:r>
      <w:r>
        <w:rPr>
          <w:rFonts w:hint="eastAsia" w:ascii="Microsoft JhengHei" w:eastAsia="宋体"/>
          <w:b/>
          <w:sz w:val="30"/>
          <w:u w:val="none"/>
        </w:rPr>
        <w:t>单位</w:t>
      </w:r>
      <w:r>
        <w:rPr>
          <w:rFonts w:hint="eastAsia" w:ascii="Microsoft JhengHei" w:eastAsia="Microsoft JhengHei"/>
          <w:b/>
          <w:sz w:val="30"/>
          <w:u w:val="none"/>
        </w:rPr>
        <w:t>职能</w:t>
      </w:r>
    </w:p>
    <w:p w14:paraId="46BE3371">
      <w:pPr>
        <w:spacing w:before="188" w:line="333" w:lineRule="auto"/>
        <w:ind w:left="26" w:right="43" w:firstLine="623"/>
        <w:rPr>
          <w:rFonts w:ascii="仿宋" w:hAnsi="仿宋" w:eastAsia="仿宋" w:cs="仿宋"/>
          <w:sz w:val="31"/>
          <w:szCs w:val="31"/>
          <w:u w:val="none"/>
        </w:rPr>
      </w:pPr>
      <w:r>
        <w:rPr>
          <w:rFonts w:hint="eastAsia" w:ascii="Times New Roman" w:hAnsi="Times New Roman" w:eastAsia="仿宋_GB2312" w:cs="Times New Roman"/>
          <w:kern w:val="2"/>
          <w:sz w:val="32"/>
          <w:szCs w:val="32"/>
          <w:u w:val="none"/>
          <w:lang w:val="en-US" w:eastAsia="zh-CN" w:bidi="ar-SA"/>
        </w:rPr>
        <w:t>根据包头市委办公室、包头市人民政府办公室关于印发《包头市 商务局职能配置、内设机构和人员编制规定》的通知（室发〔2019〕15 号），设立包头市商务局（部门），为包头市人民政府工作部门。</w:t>
      </w:r>
    </w:p>
    <w:p w14:paraId="2A69DD28">
      <w:pPr>
        <w:pStyle w:val="40"/>
        <w:numPr>
          <w:ilvl w:val="0"/>
          <w:numId w:val="3"/>
        </w:numPr>
        <w:adjustRightInd w:val="0"/>
        <w:snapToGrid w:val="0"/>
        <w:spacing w:line="560" w:lineRule="exact"/>
        <w:ind w:firstLineChars="0"/>
        <w:jc w:val="left"/>
        <w:rPr>
          <w:rFonts w:ascii="Microsoft JhengHei" w:eastAsia="Microsoft JhengHei"/>
          <w:b/>
          <w:sz w:val="30"/>
          <w:u w:val="none"/>
        </w:rPr>
      </w:pPr>
      <w:r>
        <w:rPr>
          <w:rFonts w:hint="eastAsia" w:ascii="Microsoft JhengHei" w:eastAsia="Microsoft JhengHei"/>
          <w:b/>
          <w:sz w:val="30"/>
          <w:u w:val="none"/>
        </w:rPr>
        <w:t>主要职责</w:t>
      </w:r>
    </w:p>
    <w:p w14:paraId="22104384">
      <w:pPr>
        <w:pStyle w:val="8"/>
        <w:tabs>
          <w:tab w:val="left" w:pos="1389"/>
          <w:tab w:val="left" w:pos="4911"/>
          <w:tab w:val="left" w:pos="6205"/>
        </w:tabs>
        <w:spacing w:after="0" w:line="600" w:lineRule="exact"/>
        <w:ind w:firstLine="640" w:firstLineChars="200"/>
        <w:rPr>
          <w:rFonts w:hint="eastAsia" w:eastAsia="仿宋_GB2312"/>
          <w:sz w:val="32"/>
          <w:szCs w:val="32"/>
          <w:u w:val="none"/>
          <w:lang w:eastAsia="zh-CN"/>
        </w:rPr>
      </w:pPr>
      <w:r>
        <w:rPr>
          <w:rFonts w:hint="eastAsia" w:eastAsia="仿宋_GB2312"/>
          <w:sz w:val="32"/>
          <w:szCs w:val="32"/>
          <w:u w:val="none"/>
          <w:lang w:eastAsia="zh-CN"/>
        </w:rPr>
        <w:t>1.贯彻落实国家、自治区国内外贸易、国际经济合作、外商投资、 口岸管理工作的政策措施。研究商务发展趋势，制定发展规划并组织实施。</w:t>
      </w:r>
    </w:p>
    <w:p w14:paraId="441FA9FE">
      <w:pPr>
        <w:pStyle w:val="8"/>
        <w:tabs>
          <w:tab w:val="left" w:pos="1389"/>
          <w:tab w:val="left" w:pos="4911"/>
          <w:tab w:val="left" w:pos="6205"/>
        </w:tabs>
        <w:spacing w:after="0" w:line="600" w:lineRule="exact"/>
        <w:ind w:firstLine="640" w:firstLineChars="200"/>
        <w:rPr>
          <w:rFonts w:hint="eastAsia" w:eastAsia="仿宋_GB2312"/>
          <w:sz w:val="32"/>
          <w:szCs w:val="32"/>
          <w:u w:val="none"/>
          <w:lang w:eastAsia="zh-CN"/>
        </w:rPr>
      </w:pPr>
      <w:r>
        <w:rPr>
          <w:rFonts w:hint="eastAsia" w:eastAsia="仿宋_GB2312"/>
          <w:sz w:val="32"/>
          <w:szCs w:val="32"/>
          <w:u w:val="none"/>
          <w:lang w:eastAsia="zh-CN"/>
        </w:rPr>
        <w:t>2.负责推进流通产业结构调整，指导商贸服务业和社区商业发展， 提出促进中小商贸企业发展的政策建议，推动流通标准化和连锁经营、</w:t>
      </w:r>
    </w:p>
    <w:p w14:paraId="6E4F4E1B">
      <w:pPr>
        <w:pStyle w:val="8"/>
        <w:tabs>
          <w:tab w:val="left" w:pos="1389"/>
          <w:tab w:val="left" w:pos="4911"/>
          <w:tab w:val="left" w:pos="6205"/>
        </w:tabs>
        <w:spacing w:after="0" w:line="600" w:lineRule="exact"/>
        <w:rPr>
          <w:rFonts w:hint="eastAsia" w:eastAsia="仿宋_GB2312"/>
          <w:sz w:val="32"/>
          <w:szCs w:val="32"/>
          <w:u w:val="none"/>
          <w:lang w:eastAsia="zh-CN"/>
        </w:rPr>
      </w:pPr>
      <w:r>
        <w:rPr>
          <w:rFonts w:hint="eastAsia" w:eastAsia="仿宋_GB2312"/>
          <w:sz w:val="32"/>
          <w:szCs w:val="32"/>
          <w:u w:val="none"/>
          <w:lang w:eastAsia="zh-CN"/>
        </w:rPr>
        <w:t>商业特许经营、物流配送、电子商务等现代流通方式的发展。</w:t>
      </w:r>
    </w:p>
    <w:p w14:paraId="5FB309D3">
      <w:pPr>
        <w:pStyle w:val="8"/>
        <w:tabs>
          <w:tab w:val="left" w:pos="1389"/>
          <w:tab w:val="left" w:pos="4911"/>
          <w:tab w:val="left" w:pos="6205"/>
        </w:tabs>
        <w:spacing w:after="0" w:line="600" w:lineRule="exact"/>
        <w:ind w:firstLine="640" w:firstLineChars="200"/>
        <w:rPr>
          <w:rFonts w:hint="eastAsia" w:eastAsia="仿宋_GB2312"/>
          <w:sz w:val="32"/>
          <w:szCs w:val="32"/>
          <w:u w:val="none"/>
          <w:lang w:eastAsia="zh-CN"/>
        </w:rPr>
      </w:pPr>
      <w:r>
        <w:rPr>
          <w:rFonts w:hint="eastAsia" w:eastAsia="仿宋_GB2312"/>
          <w:sz w:val="32"/>
          <w:szCs w:val="32"/>
          <w:u w:val="none"/>
          <w:lang w:eastAsia="zh-CN"/>
        </w:rPr>
        <w:t>3.研究提出促进市场体系建设的措施办法，促进城乡市场发展。指 导大宗产品批发市场规划和城市商业网点规划，推进商业体系建设工 作。推进农村市场体系建设，组织实施农村现代流通网络工程，推动电子商务进农村工作。</w:t>
      </w:r>
    </w:p>
    <w:p w14:paraId="7F2300B2">
      <w:pPr>
        <w:pStyle w:val="8"/>
        <w:tabs>
          <w:tab w:val="left" w:pos="1389"/>
          <w:tab w:val="left" w:pos="4911"/>
          <w:tab w:val="left" w:pos="6205"/>
        </w:tabs>
        <w:spacing w:after="0" w:line="600" w:lineRule="exact"/>
        <w:ind w:firstLine="640" w:firstLineChars="200"/>
        <w:rPr>
          <w:rFonts w:hint="eastAsia" w:eastAsia="仿宋_GB2312"/>
          <w:sz w:val="32"/>
          <w:szCs w:val="32"/>
          <w:u w:val="none"/>
          <w:lang w:eastAsia="zh-CN"/>
        </w:rPr>
      </w:pPr>
      <w:r>
        <w:rPr>
          <w:rFonts w:hint="eastAsia" w:eastAsia="仿宋_GB2312"/>
          <w:sz w:val="32"/>
          <w:szCs w:val="32"/>
          <w:u w:val="none"/>
          <w:lang w:eastAsia="zh-CN"/>
        </w:rPr>
        <w:t>4.牵头协调整顿和规范市场经济秩序，指导商业信用销售，推动市 场诚信公共服务平台建设。按有关规定对特殊流通行业进行监督管理。 负责督促指导商贸服务业、大型商贸（会展）活动场所的安全生产工作。</w:t>
      </w:r>
    </w:p>
    <w:p w14:paraId="1BE1603F">
      <w:pPr>
        <w:pStyle w:val="8"/>
        <w:tabs>
          <w:tab w:val="left" w:pos="1389"/>
          <w:tab w:val="left" w:pos="4911"/>
          <w:tab w:val="left" w:pos="6205"/>
        </w:tabs>
        <w:spacing w:after="0" w:line="600" w:lineRule="exact"/>
        <w:ind w:firstLine="640" w:firstLineChars="200"/>
        <w:rPr>
          <w:rFonts w:hint="eastAsia" w:eastAsia="仿宋_GB2312"/>
          <w:sz w:val="32"/>
          <w:szCs w:val="32"/>
          <w:u w:val="none"/>
          <w:lang w:eastAsia="zh-CN"/>
        </w:rPr>
      </w:pPr>
      <w:r>
        <w:rPr>
          <w:rFonts w:hint="eastAsia" w:eastAsia="仿宋_GB2312"/>
          <w:sz w:val="32"/>
          <w:szCs w:val="32"/>
          <w:u w:val="none"/>
          <w:lang w:eastAsia="zh-CN"/>
        </w:rPr>
        <w:t>5.组织实施全市重要消费品市场调控和重要生产资料流通管理，建</w:t>
      </w:r>
    </w:p>
    <w:p w14:paraId="6F14806F">
      <w:pPr>
        <w:pStyle w:val="8"/>
        <w:tabs>
          <w:tab w:val="left" w:pos="1389"/>
          <w:tab w:val="left" w:pos="4911"/>
          <w:tab w:val="left" w:pos="6205"/>
        </w:tabs>
        <w:spacing w:after="0" w:line="600" w:lineRule="exact"/>
        <w:ind w:firstLine="640" w:firstLineChars="200"/>
        <w:rPr>
          <w:rFonts w:hint="eastAsia" w:eastAsia="仿宋_GB2312"/>
          <w:sz w:val="32"/>
          <w:szCs w:val="32"/>
          <w:u w:val="none"/>
          <w:lang w:eastAsia="zh-CN"/>
        </w:rPr>
        <w:sectPr>
          <w:footerReference r:id="rId5" w:type="default"/>
          <w:pgSz w:w="11910" w:h="16840"/>
          <w:pgMar w:top="1431" w:right="1034" w:bottom="1089" w:left="1080" w:header="0" w:footer="927" w:gutter="0"/>
          <w:cols w:space="720" w:num="1"/>
        </w:sectPr>
      </w:pPr>
    </w:p>
    <w:p w14:paraId="18AFC136">
      <w:pPr>
        <w:pStyle w:val="8"/>
        <w:tabs>
          <w:tab w:val="left" w:pos="1389"/>
          <w:tab w:val="left" w:pos="4911"/>
          <w:tab w:val="left" w:pos="6205"/>
        </w:tabs>
        <w:spacing w:after="0" w:line="600" w:lineRule="exact"/>
        <w:rPr>
          <w:rFonts w:hint="eastAsia" w:eastAsia="仿宋_GB2312"/>
          <w:sz w:val="32"/>
          <w:szCs w:val="32"/>
          <w:u w:val="none"/>
          <w:lang w:eastAsia="zh-CN"/>
        </w:rPr>
      </w:pPr>
      <w:r>
        <w:rPr>
          <w:rFonts w:hint="eastAsia" w:eastAsia="仿宋_GB2312"/>
          <w:sz w:val="32"/>
          <w:szCs w:val="32"/>
          <w:u w:val="none"/>
          <w:lang w:eastAsia="zh-CN"/>
        </w:rPr>
        <w:t>立健全全市生活必需品市场供应应急管理机制。监测分析全市市场运 行、商品供求状况。调查分析商品价格信息，进行预测预警和信息引 导。负责肉类等重要消费品储备管理和市场调控。依法对成品油流通进行监督管理。</w:t>
      </w:r>
    </w:p>
    <w:p w14:paraId="159E06C5">
      <w:pPr>
        <w:pStyle w:val="8"/>
        <w:tabs>
          <w:tab w:val="left" w:pos="1389"/>
          <w:tab w:val="left" w:pos="4911"/>
          <w:tab w:val="left" w:pos="6205"/>
        </w:tabs>
        <w:spacing w:after="0" w:line="600" w:lineRule="exact"/>
        <w:ind w:firstLine="640" w:firstLineChars="200"/>
        <w:rPr>
          <w:rFonts w:hint="eastAsia" w:eastAsia="仿宋_GB2312"/>
          <w:sz w:val="32"/>
          <w:szCs w:val="32"/>
          <w:u w:val="none"/>
          <w:lang w:eastAsia="zh-CN"/>
        </w:rPr>
      </w:pPr>
      <w:r>
        <w:rPr>
          <w:rFonts w:hint="eastAsia" w:eastAsia="仿宋_GB2312"/>
          <w:sz w:val="32"/>
          <w:szCs w:val="32"/>
          <w:u w:val="none"/>
          <w:lang w:eastAsia="zh-CN"/>
        </w:rPr>
        <w:t>6.拟订全市促进外贸增长方式转变的政策措施，指导全市贸易促进 活动和外贸促进体系建设，依法组织国家对外贸易相关商品、技术进 出口计划的管理。执行国家对外技术贸易、出口管制以及鼓励技术、 成套设备进出口的贸易政策和加工贸易管理办法。推进进出口贸易标准化工作。依法监督技术引进、设备进口、国家限制出口技术的工作。 按照管理权限负责防扩散等与国家安全相关的进出口许可证管理相关辅助工作。</w:t>
      </w:r>
    </w:p>
    <w:p w14:paraId="3A78E8B9">
      <w:pPr>
        <w:pStyle w:val="8"/>
        <w:tabs>
          <w:tab w:val="left" w:pos="1389"/>
          <w:tab w:val="left" w:pos="4911"/>
          <w:tab w:val="left" w:pos="6205"/>
        </w:tabs>
        <w:spacing w:after="0" w:line="600" w:lineRule="exact"/>
        <w:ind w:firstLine="640" w:firstLineChars="200"/>
        <w:rPr>
          <w:rFonts w:hint="eastAsia" w:eastAsia="仿宋_GB2312"/>
          <w:sz w:val="32"/>
          <w:szCs w:val="32"/>
          <w:u w:val="none"/>
          <w:lang w:eastAsia="zh-CN"/>
        </w:rPr>
      </w:pPr>
      <w:r>
        <w:rPr>
          <w:rFonts w:hint="eastAsia" w:eastAsia="仿宋_GB2312"/>
          <w:sz w:val="32"/>
          <w:szCs w:val="32"/>
          <w:u w:val="none"/>
          <w:lang w:eastAsia="zh-CN"/>
        </w:rPr>
        <w:t>7.执行国家服务贸易发展规划并开展相关工作。会同有关部门制定 落实国家和自治区促进服务出口和服务外包发展规划、政策的措施并 组织实施，推动服务外包平台建设。负责全市会展业促进与管理工作，管理党政机关境内举办展会活动。</w:t>
      </w:r>
    </w:p>
    <w:p w14:paraId="1A09E4FE">
      <w:pPr>
        <w:pStyle w:val="8"/>
        <w:tabs>
          <w:tab w:val="left" w:pos="1389"/>
          <w:tab w:val="left" w:pos="4911"/>
          <w:tab w:val="left" w:pos="6205"/>
        </w:tabs>
        <w:spacing w:after="0" w:line="600" w:lineRule="exact"/>
        <w:ind w:firstLine="640" w:firstLineChars="200"/>
        <w:rPr>
          <w:rFonts w:hint="eastAsia" w:eastAsia="仿宋_GB2312"/>
          <w:sz w:val="32"/>
          <w:szCs w:val="32"/>
          <w:u w:val="none"/>
          <w:lang w:eastAsia="zh-CN"/>
        </w:rPr>
      </w:pPr>
      <w:r>
        <w:rPr>
          <w:rFonts w:hint="eastAsia" w:eastAsia="仿宋_GB2312"/>
          <w:sz w:val="32"/>
          <w:szCs w:val="32"/>
          <w:u w:val="none"/>
          <w:lang w:eastAsia="zh-CN"/>
        </w:rPr>
        <w:t>8.根据授权代表包头市人民政府同外国进行经贸谈判并签署有关 文件，处理国别（地区）地方间经贸关系中的重要事务。联系外国驻 华官方商务机构、外商驻包头市代表机构和我国驻外使（领）馆经商处。</w:t>
      </w:r>
    </w:p>
    <w:p w14:paraId="4D99D147">
      <w:pPr>
        <w:pStyle w:val="8"/>
        <w:tabs>
          <w:tab w:val="left" w:pos="1389"/>
          <w:tab w:val="left" w:pos="4911"/>
          <w:tab w:val="left" w:pos="6205"/>
        </w:tabs>
        <w:spacing w:after="0" w:line="600" w:lineRule="exact"/>
        <w:ind w:firstLine="640" w:firstLineChars="200"/>
        <w:rPr>
          <w:rFonts w:hint="eastAsia" w:eastAsia="仿宋_GB2312"/>
          <w:sz w:val="32"/>
          <w:szCs w:val="32"/>
          <w:u w:val="none"/>
          <w:lang w:eastAsia="zh-CN"/>
        </w:rPr>
      </w:pPr>
      <w:r>
        <w:rPr>
          <w:rFonts w:hint="eastAsia" w:eastAsia="仿宋_GB2312"/>
          <w:sz w:val="32"/>
          <w:szCs w:val="32"/>
          <w:u w:val="none"/>
          <w:lang w:eastAsia="zh-CN"/>
        </w:rPr>
        <w:t>9.贯彻落实我国加入世贸组织的相关政策和法律、法规，并协助商 务部和自治区商务厅开展相关工作。协调指导进出口公平贸易相关工作。参与商务部和自治区商务厅涉及我市的经贸谈判。</w:t>
      </w:r>
    </w:p>
    <w:p w14:paraId="2F380A96">
      <w:pPr>
        <w:pStyle w:val="8"/>
        <w:tabs>
          <w:tab w:val="left" w:pos="1389"/>
          <w:tab w:val="left" w:pos="4911"/>
          <w:tab w:val="left" w:pos="6205"/>
        </w:tabs>
        <w:spacing w:after="0" w:line="600" w:lineRule="exact"/>
        <w:ind w:firstLine="640" w:firstLineChars="200"/>
        <w:rPr>
          <w:rFonts w:hint="eastAsia" w:eastAsia="仿宋_GB2312"/>
          <w:sz w:val="32"/>
          <w:szCs w:val="32"/>
          <w:u w:val="none"/>
          <w:lang w:eastAsia="zh-CN"/>
        </w:rPr>
      </w:pPr>
      <w:r>
        <w:rPr>
          <w:rFonts w:hint="eastAsia" w:eastAsia="仿宋_GB2312"/>
          <w:sz w:val="32"/>
          <w:szCs w:val="32"/>
          <w:u w:val="none"/>
          <w:lang w:eastAsia="zh-CN"/>
        </w:rPr>
        <w:t>10.负责对外经济合作工作，加强与俄罗斯、蒙古国和“一带一路” 沿线国家的经贸合作。执行国家对外经济合作政策，依法管理对外承包工程、外派劳务、境外资源合作、对外投资开办企业（金融企业除外）。承担包头市对外援助工作职责和国家对外援助项目。</w:t>
      </w:r>
    </w:p>
    <w:p w14:paraId="5777821E">
      <w:pPr>
        <w:pStyle w:val="8"/>
        <w:tabs>
          <w:tab w:val="left" w:pos="1389"/>
          <w:tab w:val="left" w:pos="4911"/>
          <w:tab w:val="left" w:pos="6205"/>
        </w:tabs>
        <w:spacing w:after="0" w:line="600" w:lineRule="exact"/>
        <w:ind w:firstLine="640" w:firstLineChars="200"/>
        <w:rPr>
          <w:rFonts w:hint="eastAsia" w:eastAsia="仿宋_GB2312"/>
          <w:sz w:val="32"/>
          <w:szCs w:val="32"/>
          <w:u w:val="none"/>
          <w:lang w:eastAsia="zh-CN"/>
        </w:rPr>
      </w:pPr>
      <w:r>
        <w:rPr>
          <w:rFonts w:hint="eastAsia" w:eastAsia="仿宋_GB2312"/>
          <w:sz w:val="32"/>
          <w:szCs w:val="32"/>
          <w:u w:val="none"/>
          <w:lang w:eastAsia="zh-CN"/>
        </w:rPr>
        <w:t>11.指导和管理全市外商投资工作。会同有关部门制定利用外商投 资的政策措施和发展规划。依法承担外商投资企业设立、变更等事项 的有关管理工作。负责外商投资促进相关工作。依法监督检查外商投 资企业执行有关法律法规规章、合同章程的情况并协调解决有关问题。</w:t>
      </w:r>
    </w:p>
    <w:p w14:paraId="18F0F5E3">
      <w:pPr>
        <w:pStyle w:val="8"/>
        <w:tabs>
          <w:tab w:val="left" w:pos="1389"/>
          <w:tab w:val="left" w:pos="4911"/>
          <w:tab w:val="left" w:pos="6205"/>
        </w:tabs>
        <w:spacing w:after="0" w:line="600" w:lineRule="exact"/>
        <w:rPr>
          <w:rFonts w:hint="eastAsia" w:eastAsia="仿宋_GB2312"/>
          <w:sz w:val="32"/>
          <w:szCs w:val="32"/>
          <w:u w:val="none"/>
          <w:lang w:eastAsia="zh-CN"/>
        </w:rPr>
      </w:pPr>
      <w:r>
        <w:rPr>
          <w:rFonts w:hint="eastAsia" w:eastAsia="仿宋_GB2312"/>
          <w:sz w:val="32"/>
          <w:szCs w:val="32"/>
          <w:u w:val="none"/>
          <w:lang w:eastAsia="zh-CN"/>
        </w:rPr>
        <w:t>指导国家级经济技术开发区、边境（跨境）经济合作区的有关工作。</w:t>
      </w:r>
    </w:p>
    <w:p w14:paraId="7AB6C170">
      <w:pPr>
        <w:pStyle w:val="8"/>
        <w:tabs>
          <w:tab w:val="left" w:pos="1389"/>
          <w:tab w:val="left" w:pos="4911"/>
          <w:tab w:val="left" w:pos="6205"/>
        </w:tabs>
        <w:spacing w:after="0" w:line="600" w:lineRule="exact"/>
        <w:ind w:firstLine="640" w:firstLineChars="200"/>
        <w:rPr>
          <w:rFonts w:hint="eastAsia" w:eastAsia="仿宋_GB2312"/>
          <w:sz w:val="32"/>
          <w:szCs w:val="32"/>
          <w:u w:val="none"/>
          <w:lang w:eastAsia="zh-CN"/>
        </w:rPr>
      </w:pPr>
      <w:r>
        <w:rPr>
          <w:rFonts w:hint="eastAsia" w:eastAsia="仿宋_GB2312"/>
          <w:sz w:val="32"/>
          <w:szCs w:val="32"/>
          <w:u w:val="none"/>
          <w:lang w:eastAsia="zh-CN"/>
        </w:rPr>
        <w:t>12.组织协调口岸开放、建设、运行、关闭等工作。组织推动口岸 “大通关”建设，优化菅商环境。负责电子口岸服务平台建设，指导 我市口岸信息化、电子化和智慧口岸建设管理。指导口岸区域公共安 全事件应急处置的相关工作。负责口岸运行监控和动态评估。负责“一 带一路”建设和中蒙俄经济走廊建设推进工作中与沿线国家和地区的 口岸合作事宜。牵头推进我市向北开放、创新与俄蒙合作机制的相关工作。</w:t>
      </w:r>
    </w:p>
    <w:p w14:paraId="0005108D">
      <w:pPr>
        <w:pStyle w:val="8"/>
        <w:tabs>
          <w:tab w:val="left" w:pos="1389"/>
          <w:tab w:val="left" w:pos="4911"/>
          <w:tab w:val="left" w:pos="6205"/>
        </w:tabs>
        <w:spacing w:after="0" w:line="600" w:lineRule="exact"/>
        <w:ind w:firstLine="640" w:firstLineChars="200"/>
        <w:rPr>
          <w:rFonts w:hint="eastAsia" w:eastAsia="仿宋_GB2312"/>
          <w:sz w:val="32"/>
          <w:szCs w:val="32"/>
          <w:u w:val="none"/>
          <w:lang w:eastAsia="zh-CN"/>
        </w:rPr>
      </w:pPr>
      <w:r>
        <w:rPr>
          <w:rFonts w:hint="eastAsia" w:eastAsia="仿宋_GB2312"/>
          <w:sz w:val="32"/>
          <w:szCs w:val="32"/>
          <w:u w:val="none"/>
          <w:lang w:eastAsia="zh-CN"/>
        </w:rPr>
        <w:t>13.承担统筹协调全市服务业工作。</w:t>
      </w:r>
    </w:p>
    <w:p w14:paraId="2D1404B5">
      <w:pPr>
        <w:pStyle w:val="8"/>
        <w:tabs>
          <w:tab w:val="left" w:pos="1389"/>
          <w:tab w:val="left" w:pos="4911"/>
          <w:tab w:val="left" w:pos="6205"/>
        </w:tabs>
        <w:spacing w:after="0" w:line="600" w:lineRule="exact"/>
        <w:ind w:firstLine="640" w:firstLineChars="200"/>
        <w:rPr>
          <w:szCs w:val="32"/>
          <w:lang w:val="en-US"/>
        </w:rPr>
      </w:pPr>
      <w:r>
        <w:rPr>
          <w:rFonts w:hint="eastAsia" w:eastAsia="仿宋_GB2312"/>
          <w:sz w:val="32"/>
          <w:szCs w:val="32"/>
          <w:u w:val="none"/>
          <w:lang w:eastAsia="zh-CN"/>
        </w:rPr>
        <w:t>14.</w:t>
      </w:r>
      <w:r>
        <w:rPr>
          <w:rFonts w:hint="eastAsia" w:eastAsia="仿宋_GB2312"/>
          <w:sz w:val="32"/>
          <w:szCs w:val="32"/>
          <w:u w:val="none"/>
          <w:lang w:val="en-US" w:eastAsia="zh-CN"/>
        </w:rPr>
        <w:t>组织实施全市性投资促进活动。负责承办市政府开展的重大国内、境外</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含港澳台地区</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招商引资活动。会同有关部门编制全市投资指南和投资产业指导目录。负责建设完善重点招商引资项目库和重点客商名录库。推进包头市融入“一带一路”建设，协调推动中蒙俄经济走廊建设，参与国际间经济交流合作。提出并推进实施沿边地区开发开放规划和政策措施。</w:t>
      </w:r>
    </w:p>
    <w:p w14:paraId="10091FC1">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kern w:val="2"/>
          <w:sz w:val="32"/>
          <w:szCs w:val="32"/>
          <w:lang w:val="en-US" w:eastAsia="zh-CN" w:bidi="ar"/>
        </w:rPr>
        <w:t>15.负责统筹推进全市招商引资工作。贯彻执行国家、自治区和包头市有关招商引资和投资促进的法律法规、方针政策。拟订全市招商引资和投资促进方面的战略、规划、计划、政策并组织实施。负责国内、境外</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含港澳台地区</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招商引资管理、服务工作。</w:t>
      </w:r>
    </w:p>
    <w:p w14:paraId="01B695E5">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16.完成市委、市政府交办的其它任务。</w:t>
      </w:r>
    </w:p>
    <w:p w14:paraId="5D62469F">
      <w:pPr>
        <w:spacing w:line="600" w:lineRule="exact"/>
        <w:ind w:firstLine="640" w:firstLineChars="200"/>
        <w:outlineLvl w:val="0"/>
        <w:rPr>
          <w:rFonts w:eastAsia="黑体" w:cs="黑体"/>
          <w:sz w:val="32"/>
          <w:szCs w:val="36"/>
          <w:u w:val="none"/>
        </w:rPr>
      </w:pPr>
      <w:r>
        <w:rPr>
          <w:rFonts w:hint="eastAsia" w:eastAsia="黑体" w:cs="黑体"/>
          <w:sz w:val="32"/>
          <w:szCs w:val="36"/>
          <w:u w:val="none"/>
        </w:rPr>
        <w:t>二、部门机构设置及预算单位构成情况</w:t>
      </w:r>
    </w:p>
    <w:p w14:paraId="0FB4C592">
      <w:pPr>
        <w:pStyle w:val="8"/>
        <w:tabs>
          <w:tab w:val="left" w:pos="1389"/>
          <w:tab w:val="left" w:pos="4911"/>
          <w:tab w:val="left" w:pos="6205"/>
        </w:tabs>
        <w:spacing w:after="0" w:line="600" w:lineRule="exact"/>
        <w:ind w:firstLine="640" w:firstLineChars="200"/>
        <w:rPr>
          <w:rFonts w:hint="eastAsia" w:eastAsia="仿宋_GB2312"/>
          <w:sz w:val="32"/>
          <w:szCs w:val="32"/>
          <w:u w:val="none"/>
          <w:lang w:eastAsia="zh-CN"/>
        </w:rPr>
      </w:pPr>
      <w:r>
        <w:rPr>
          <w:rFonts w:hint="eastAsia" w:eastAsia="仿宋_GB2312"/>
          <w:sz w:val="32"/>
          <w:szCs w:val="32"/>
          <w:u w:val="none"/>
          <w:lang w:eastAsia="zh-CN"/>
        </w:rPr>
        <w:t>1．根据部门职责分工，本部门内设机构包括办公室、政工科、政 策法规科、对外开放管理科、市场体系建设科、流通业发展科、电子 商务和信息化科、市场运行和消费促进科、外国投资管理科、对外贸 易科、服务贸易和商贸服务业科、对外投资和经济合作科、招商协调科。本部门下属单位包括：包头市商务局本级、包头市电子商务促进中心 、包头市口岸服务中心。</w:t>
      </w:r>
    </w:p>
    <w:p w14:paraId="014930DC">
      <w:pPr>
        <w:pStyle w:val="8"/>
        <w:tabs>
          <w:tab w:val="left" w:pos="1389"/>
          <w:tab w:val="left" w:pos="4911"/>
          <w:tab w:val="left" w:pos="6205"/>
        </w:tabs>
        <w:spacing w:after="0" w:line="600" w:lineRule="exact"/>
        <w:ind w:firstLine="640" w:firstLineChars="200"/>
        <w:rPr>
          <w:rFonts w:eastAsia="仿宋_GB2312"/>
          <w:sz w:val="32"/>
          <w:szCs w:val="32"/>
          <w:u w:val="none"/>
        </w:rPr>
      </w:pPr>
      <w:r>
        <w:rPr>
          <w:rFonts w:hint="eastAsia" w:eastAsia="仿宋_GB2312"/>
          <w:sz w:val="32"/>
          <w:szCs w:val="32"/>
          <w:u w:val="none"/>
        </w:rPr>
        <w:t>2．从预算单位构成看，纳入本单位202</w:t>
      </w:r>
      <w:r>
        <w:rPr>
          <w:rFonts w:hint="eastAsia" w:eastAsia="仿宋_GB2312"/>
          <w:sz w:val="32"/>
          <w:szCs w:val="32"/>
          <w:u w:val="none"/>
          <w:lang w:val="en-US" w:eastAsia="zh-CN"/>
        </w:rPr>
        <w:t>6</w:t>
      </w:r>
      <w:r>
        <w:rPr>
          <w:rFonts w:hint="eastAsia" w:eastAsia="仿宋_GB2312"/>
          <w:sz w:val="32"/>
          <w:szCs w:val="32"/>
          <w:u w:val="none"/>
        </w:rPr>
        <w:t>年部门汇总预算编制范围的预算单位共计</w:t>
      </w:r>
      <w:r>
        <w:rPr>
          <w:rFonts w:hint="eastAsia" w:eastAsia="仿宋_GB2312"/>
          <w:sz w:val="32"/>
          <w:szCs w:val="32"/>
          <w:u w:val="none"/>
          <w:lang w:val="en-US" w:eastAsia="zh-CN"/>
        </w:rPr>
        <w:t>3</w:t>
      </w:r>
      <w:r>
        <w:rPr>
          <w:rFonts w:hint="eastAsia" w:eastAsia="仿宋_GB2312"/>
          <w:sz w:val="32"/>
          <w:szCs w:val="32"/>
          <w:u w:val="none"/>
        </w:rPr>
        <w:t>家</w:t>
      </w:r>
      <w:r>
        <w:rPr>
          <w:rFonts w:hint="eastAsia" w:eastAsia="仿宋_GB2312"/>
          <w:sz w:val="32"/>
          <w:szCs w:val="32"/>
          <w:u w:val="none"/>
          <w:lang w:eastAsia="zh-CN"/>
        </w:rPr>
        <w:t>；</w:t>
      </w:r>
      <w:r>
        <w:rPr>
          <w:rFonts w:hint="eastAsia" w:eastAsia="仿宋_GB2312"/>
          <w:sz w:val="32"/>
          <w:szCs w:val="32"/>
          <w:u w:val="none"/>
        </w:rPr>
        <w:t>具体包括：</w:t>
      </w:r>
      <w:r>
        <w:rPr>
          <w:rFonts w:eastAsia="仿宋_GB2312"/>
          <w:sz w:val="32"/>
          <w:szCs w:val="32"/>
          <w:u w:val="none"/>
        </w:rPr>
        <w:t>包头市商务局本级、包头市电子商务促进中心、包头市口岸服务中心</w:t>
      </w:r>
      <w:r>
        <w:rPr>
          <w:rFonts w:hint="eastAsia" w:eastAsia="仿宋_GB2312"/>
          <w:sz w:val="32"/>
          <w:szCs w:val="32"/>
          <w:u w:val="none"/>
        </w:rPr>
        <w:t>。</w:t>
      </w:r>
    </w:p>
    <w:p w14:paraId="0819FBC7">
      <w:pPr>
        <w:tabs>
          <w:tab w:val="left" w:pos="3532"/>
        </w:tabs>
        <w:autoSpaceDE w:val="0"/>
        <w:autoSpaceDN w:val="0"/>
        <w:adjustRightInd w:val="0"/>
        <w:spacing w:line="600" w:lineRule="exact"/>
        <w:jc w:val="center"/>
        <w:rPr>
          <w:rFonts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单位情况表</w:t>
      </w:r>
    </w:p>
    <w:tbl>
      <w:tblPr>
        <w:tblStyle w:val="19"/>
        <w:tblpPr w:leftFromText="180" w:rightFromText="180" w:vertAnchor="text" w:horzAnchor="page" w:tblpX="1745" w:tblpY="190"/>
        <w:tblOverlap w:val="never"/>
        <w:tblW w:w="9398" w:type="dxa"/>
        <w:tblInd w:w="0" w:type="dxa"/>
        <w:tblLayout w:type="fixed"/>
        <w:tblCellMar>
          <w:top w:w="0" w:type="dxa"/>
          <w:left w:w="108" w:type="dxa"/>
          <w:bottom w:w="0" w:type="dxa"/>
          <w:right w:w="108" w:type="dxa"/>
        </w:tblCellMar>
      </w:tblPr>
      <w:tblGrid>
        <w:gridCol w:w="880"/>
        <w:gridCol w:w="4526"/>
        <w:gridCol w:w="3992"/>
      </w:tblGrid>
      <w:tr w14:paraId="78FF48B7">
        <w:tblPrEx>
          <w:tblCellMar>
            <w:top w:w="0" w:type="dxa"/>
            <w:left w:w="108" w:type="dxa"/>
            <w:bottom w:w="0" w:type="dxa"/>
            <w:right w:w="108" w:type="dxa"/>
          </w:tblCellMar>
        </w:tblPrEx>
        <w:trPr>
          <w:trHeight w:val="813" w:hRule="atLeast"/>
        </w:trPr>
        <w:tc>
          <w:tcPr>
            <w:tcW w:w="880" w:type="dxa"/>
            <w:tcBorders>
              <w:top w:val="single" w:color="auto" w:sz="4" w:space="0"/>
              <w:left w:val="single" w:color="auto" w:sz="4" w:space="0"/>
              <w:bottom w:val="single" w:color="auto" w:sz="4" w:space="0"/>
              <w:right w:val="single" w:color="auto" w:sz="4" w:space="0"/>
            </w:tcBorders>
            <w:vAlign w:val="center"/>
          </w:tcPr>
          <w:p w14:paraId="7018DD0D">
            <w:pPr>
              <w:keepNext w:val="0"/>
              <w:keepLines w:val="0"/>
              <w:widowControl/>
              <w:suppressLineNumbers w:val="0"/>
              <w:spacing w:before="0" w:beforeAutospacing="0" w:after="0" w:afterAutospacing="0" w:line="600" w:lineRule="exact"/>
              <w:ind w:left="0" w:right="0"/>
              <w:jc w:val="center"/>
              <w:rPr>
                <w:rFonts w:hint="default" w:ascii="仿宋" w:hAnsi="仿宋" w:eastAsia="仿宋" w:cs="仿宋"/>
                <w:kern w:val="0"/>
                <w:sz w:val="30"/>
                <w:szCs w:val="30"/>
                <w:u w:val="none"/>
              </w:rPr>
            </w:pPr>
            <w:r>
              <w:rPr>
                <w:rFonts w:hint="eastAsia" w:ascii="仿宋" w:hAnsi="仿宋" w:eastAsia="仿宋" w:cs="仿宋"/>
                <w:kern w:val="0"/>
                <w:sz w:val="30"/>
                <w:szCs w:val="30"/>
                <w:u w:val="none"/>
              </w:rPr>
              <w:t>序号</w:t>
            </w:r>
          </w:p>
        </w:tc>
        <w:tc>
          <w:tcPr>
            <w:tcW w:w="4526" w:type="dxa"/>
            <w:tcBorders>
              <w:top w:val="single" w:color="auto" w:sz="4" w:space="0"/>
              <w:left w:val="nil"/>
              <w:bottom w:val="single" w:color="auto" w:sz="4" w:space="0"/>
              <w:right w:val="single" w:color="auto" w:sz="4" w:space="0"/>
            </w:tcBorders>
            <w:vAlign w:val="center"/>
          </w:tcPr>
          <w:p w14:paraId="47BBFFAF">
            <w:pPr>
              <w:keepNext w:val="0"/>
              <w:keepLines w:val="0"/>
              <w:widowControl/>
              <w:suppressLineNumbers w:val="0"/>
              <w:spacing w:before="0" w:beforeAutospacing="0" w:after="0" w:afterAutospacing="0" w:line="600" w:lineRule="exact"/>
              <w:ind w:left="0" w:right="0"/>
              <w:jc w:val="center"/>
              <w:rPr>
                <w:rFonts w:hint="default" w:ascii="仿宋" w:hAnsi="仿宋" w:eastAsia="仿宋" w:cs="仿宋"/>
                <w:kern w:val="0"/>
                <w:sz w:val="30"/>
                <w:szCs w:val="30"/>
                <w:u w:val="none"/>
              </w:rPr>
            </w:pPr>
            <w:r>
              <w:rPr>
                <w:rFonts w:hint="eastAsia" w:ascii="仿宋" w:hAnsi="仿宋" w:eastAsia="仿宋" w:cs="仿宋"/>
                <w:kern w:val="0"/>
                <w:sz w:val="30"/>
                <w:szCs w:val="30"/>
                <w:u w:val="none"/>
              </w:rPr>
              <w:t>单位名称</w:t>
            </w:r>
          </w:p>
        </w:tc>
        <w:tc>
          <w:tcPr>
            <w:tcW w:w="3992" w:type="dxa"/>
            <w:tcBorders>
              <w:top w:val="single" w:color="auto" w:sz="4" w:space="0"/>
              <w:left w:val="nil"/>
              <w:bottom w:val="single" w:color="auto" w:sz="4" w:space="0"/>
              <w:right w:val="single" w:color="auto" w:sz="4" w:space="0"/>
            </w:tcBorders>
            <w:vAlign w:val="center"/>
          </w:tcPr>
          <w:p w14:paraId="3FCECFE1">
            <w:pPr>
              <w:keepNext w:val="0"/>
              <w:keepLines w:val="0"/>
              <w:widowControl/>
              <w:suppressLineNumbers w:val="0"/>
              <w:spacing w:before="0" w:beforeAutospacing="0" w:after="0" w:afterAutospacing="0" w:line="600" w:lineRule="exact"/>
              <w:ind w:left="0" w:right="0"/>
              <w:jc w:val="center"/>
              <w:rPr>
                <w:rFonts w:hint="default" w:ascii="仿宋" w:hAnsi="仿宋" w:eastAsia="仿宋" w:cs="仿宋"/>
                <w:kern w:val="0"/>
                <w:sz w:val="30"/>
                <w:szCs w:val="30"/>
                <w:u w:val="none"/>
              </w:rPr>
            </w:pPr>
            <w:r>
              <w:rPr>
                <w:rFonts w:hint="eastAsia" w:ascii="仿宋" w:hAnsi="仿宋" w:eastAsia="仿宋" w:cs="仿宋"/>
                <w:kern w:val="0"/>
                <w:sz w:val="30"/>
                <w:szCs w:val="30"/>
                <w:u w:val="none"/>
              </w:rPr>
              <w:t>单位性质</w:t>
            </w:r>
          </w:p>
        </w:tc>
      </w:tr>
      <w:tr w14:paraId="19097E0C">
        <w:tblPrEx>
          <w:tblCellMar>
            <w:top w:w="0" w:type="dxa"/>
            <w:left w:w="108" w:type="dxa"/>
            <w:bottom w:w="0" w:type="dxa"/>
            <w:right w:w="108" w:type="dxa"/>
          </w:tblCellMar>
        </w:tblPrEx>
        <w:trPr>
          <w:trHeight w:val="524" w:hRule="atLeast"/>
        </w:trPr>
        <w:tc>
          <w:tcPr>
            <w:tcW w:w="880" w:type="dxa"/>
            <w:tcBorders>
              <w:top w:val="single" w:color="auto" w:sz="4" w:space="0"/>
              <w:left w:val="single" w:color="auto" w:sz="4" w:space="0"/>
              <w:bottom w:val="single" w:color="auto" w:sz="4" w:space="0"/>
              <w:right w:val="single" w:color="auto" w:sz="4" w:space="0"/>
            </w:tcBorders>
            <w:vAlign w:val="top"/>
          </w:tcPr>
          <w:p w14:paraId="481107EB">
            <w:pPr>
              <w:pStyle w:val="41"/>
              <w:keepNext w:val="0"/>
              <w:keepLines w:val="0"/>
              <w:suppressLineNumbers w:val="0"/>
              <w:spacing w:before="97" w:beforeAutospacing="0" w:after="0" w:afterAutospacing="0" w:line="175" w:lineRule="auto"/>
              <w:ind w:left="214" w:leftChars="0" w:right="0"/>
              <w:rPr>
                <w:rFonts w:hint="default" w:ascii="仿宋" w:hAnsi="仿宋" w:eastAsia="仿宋" w:cs="仿宋"/>
                <w:kern w:val="0"/>
                <w:sz w:val="30"/>
                <w:szCs w:val="30"/>
                <w:u w:val="none"/>
              </w:rPr>
            </w:pPr>
            <w:r>
              <w:rPr>
                <w:rFonts w:hint="default"/>
                <w:u w:val="none"/>
              </w:rPr>
              <w:t>1</w:t>
            </w:r>
          </w:p>
        </w:tc>
        <w:tc>
          <w:tcPr>
            <w:tcW w:w="4526" w:type="dxa"/>
            <w:tcBorders>
              <w:top w:val="single" w:color="auto" w:sz="4" w:space="0"/>
              <w:left w:val="single" w:color="auto" w:sz="4" w:space="0"/>
              <w:bottom w:val="single" w:color="auto" w:sz="4" w:space="0"/>
              <w:right w:val="single" w:color="auto" w:sz="4" w:space="0"/>
            </w:tcBorders>
            <w:vAlign w:val="top"/>
          </w:tcPr>
          <w:p w14:paraId="2D00F73C">
            <w:pPr>
              <w:pStyle w:val="41"/>
              <w:keepNext w:val="0"/>
              <w:keepLines w:val="0"/>
              <w:suppressLineNumbers w:val="0"/>
              <w:spacing w:before="47" w:beforeAutospacing="0" w:after="0" w:afterAutospacing="0" w:line="206" w:lineRule="auto"/>
              <w:ind w:left="0" w:right="0"/>
              <w:jc w:val="center"/>
              <w:rPr>
                <w:rFonts w:hint="eastAsia" w:ascii="仿宋" w:hAnsi="仿宋" w:eastAsia="仿宋" w:cs="仿宋"/>
                <w:kern w:val="0"/>
                <w:sz w:val="30"/>
                <w:szCs w:val="30"/>
                <w:u w:val="none"/>
                <w:lang w:eastAsia="zh-CN"/>
              </w:rPr>
            </w:pPr>
            <w:r>
              <w:rPr>
                <w:rFonts w:hint="default"/>
                <w:spacing w:val="-4"/>
                <w:u w:val="none"/>
              </w:rPr>
              <w:t>包头市商务局本级</w:t>
            </w:r>
          </w:p>
        </w:tc>
        <w:tc>
          <w:tcPr>
            <w:tcW w:w="3992" w:type="dxa"/>
            <w:tcBorders>
              <w:top w:val="single" w:color="auto" w:sz="4" w:space="0"/>
              <w:left w:val="single" w:color="auto" w:sz="4" w:space="0"/>
              <w:bottom w:val="single" w:color="auto" w:sz="4" w:space="0"/>
              <w:right w:val="single" w:color="auto" w:sz="4" w:space="0"/>
            </w:tcBorders>
            <w:vAlign w:val="top"/>
          </w:tcPr>
          <w:p w14:paraId="436BB0DE">
            <w:pPr>
              <w:pStyle w:val="41"/>
              <w:keepNext w:val="0"/>
              <w:keepLines w:val="0"/>
              <w:suppressLineNumbers w:val="0"/>
              <w:spacing w:before="47" w:beforeAutospacing="0" w:after="0" w:afterAutospacing="0" w:line="206" w:lineRule="auto"/>
              <w:ind w:left="237" w:leftChars="0" w:right="0"/>
              <w:rPr>
                <w:rFonts w:hint="default" w:ascii="仿宋" w:hAnsi="仿宋" w:eastAsia="仿宋" w:cs="仿宋"/>
                <w:kern w:val="0"/>
                <w:sz w:val="30"/>
                <w:szCs w:val="30"/>
                <w:u w:val="none"/>
              </w:rPr>
            </w:pPr>
            <w:r>
              <w:rPr>
                <w:rFonts w:hint="default"/>
                <w:spacing w:val="-3"/>
                <w:u w:val="none"/>
              </w:rPr>
              <w:t>财政拨款的行政单位</w:t>
            </w:r>
          </w:p>
        </w:tc>
      </w:tr>
      <w:tr w14:paraId="0AEDE921">
        <w:tblPrEx>
          <w:tblCellMar>
            <w:top w:w="0" w:type="dxa"/>
            <w:left w:w="108" w:type="dxa"/>
            <w:bottom w:w="0" w:type="dxa"/>
            <w:right w:w="108" w:type="dxa"/>
          </w:tblCellMar>
        </w:tblPrEx>
        <w:trPr>
          <w:trHeight w:val="516" w:hRule="atLeast"/>
        </w:trPr>
        <w:tc>
          <w:tcPr>
            <w:tcW w:w="880" w:type="dxa"/>
            <w:tcBorders>
              <w:top w:val="single" w:color="auto" w:sz="4" w:space="0"/>
              <w:left w:val="single" w:color="auto" w:sz="4" w:space="0"/>
              <w:bottom w:val="single" w:color="auto" w:sz="4" w:space="0"/>
              <w:right w:val="single" w:color="auto" w:sz="4" w:space="0"/>
            </w:tcBorders>
            <w:vAlign w:val="top"/>
          </w:tcPr>
          <w:p w14:paraId="2172559A">
            <w:pPr>
              <w:pStyle w:val="41"/>
              <w:keepNext w:val="0"/>
              <w:keepLines w:val="0"/>
              <w:suppressLineNumbers w:val="0"/>
              <w:spacing w:before="102" w:beforeAutospacing="0" w:after="0" w:afterAutospacing="0" w:line="174" w:lineRule="auto"/>
              <w:ind w:left="196" w:leftChars="0" w:right="0"/>
              <w:rPr>
                <w:rFonts w:hint="eastAsia" w:ascii="仿宋" w:hAnsi="仿宋" w:eastAsia="仿宋" w:cs="仿宋"/>
                <w:kern w:val="0"/>
                <w:sz w:val="30"/>
                <w:szCs w:val="30"/>
                <w:u w:val="none"/>
              </w:rPr>
            </w:pPr>
            <w:r>
              <w:rPr>
                <w:rFonts w:hint="default"/>
                <w:u w:val="none"/>
              </w:rPr>
              <w:t>2</w:t>
            </w:r>
          </w:p>
        </w:tc>
        <w:tc>
          <w:tcPr>
            <w:tcW w:w="4526" w:type="dxa"/>
            <w:tcBorders>
              <w:top w:val="single" w:color="auto" w:sz="4" w:space="0"/>
              <w:left w:val="single" w:color="auto" w:sz="4" w:space="0"/>
              <w:bottom w:val="single" w:color="auto" w:sz="4" w:space="0"/>
              <w:right w:val="single" w:color="auto" w:sz="4" w:space="0"/>
            </w:tcBorders>
            <w:vAlign w:val="top"/>
          </w:tcPr>
          <w:p w14:paraId="484A040D">
            <w:pPr>
              <w:pStyle w:val="41"/>
              <w:keepNext w:val="0"/>
              <w:keepLines w:val="0"/>
              <w:suppressLineNumbers w:val="0"/>
              <w:spacing w:before="50" w:beforeAutospacing="0" w:after="0" w:afterAutospacing="0" w:line="206" w:lineRule="auto"/>
              <w:ind w:left="0" w:right="0"/>
              <w:jc w:val="center"/>
              <w:rPr>
                <w:rFonts w:hint="eastAsia" w:ascii="仿宋" w:hAnsi="仿宋" w:eastAsia="仿宋" w:cs="仿宋"/>
                <w:kern w:val="0"/>
                <w:sz w:val="30"/>
                <w:szCs w:val="30"/>
                <w:u w:val="none"/>
                <w:lang w:eastAsia="zh-CN"/>
              </w:rPr>
            </w:pPr>
            <w:r>
              <w:rPr>
                <w:rFonts w:hint="default"/>
                <w:spacing w:val="-3"/>
                <w:u w:val="none"/>
              </w:rPr>
              <w:t>包头市电子商务促进中心</w:t>
            </w:r>
          </w:p>
        </w:tc>
        <w:tc>
          <w:tcPr>
            <w:tcW w:w="3992" w:type="dxa"/>
            <w:tcBorders>
              <w:top w:val="single" w:color="auto" w:sz="4" w:space="0"/>
              <w:left w:val="single" w:color="auto" w:sz="4" w:space="0"/>
              <w:bottom w:val="single" w:color="auto" w:sz="4" w:space="0"/>
              <w:right w:val="single" w:color="auto" w:sz="4" w:space="0"/>
            </w:tcBorders>
            <w:vAlign w:val="top"/>
          </w:tcPr>
          <w:p w14:paraId="73A8C202">
            <w:pPr>
              <w:pStyle w:val="41"/>
              <w:keepNext w:val="0"/>
              <w:keepLines w:val="0"/>
              <w:suppressLineNumbers w:val="0"/>
              <w:spacing w:before="50" w:beforeAutospacing="0" w:after="0" w:afterAutospacing="0" w:line="206" w:lineRule="auto"/>
              <w:ind w:left="391" w:leftChars="0" w:right="0"/>
              <w:rPr>
                <w:rFonts w:hint="eastAsia" w:ascii="仿宋" w:hAnsi="仿宋" w:eastAsia="仿宋" w:cs="仿宋"/>
                <w:kern w:val="0"/>
                <w:sz w:val="30"/>
                <w:szCs w:val="30"/>
                <w:u w:val="none"/>
              </w:rPr>
            </w:pPr>
            <w:r>
              <w:rPr>
                <w:rFonts w:hint="default"/>
                <w:spacing w:val="-4"/>
                <w:u w:val="none"/>
              </w:rPr>
              <w:t>公益一类事业单位</w:t>
            </w:r>
          </w:p>
        </w:tc>
      </w:tr>
      <w:tr w14:paraId="74C50279">
        <w:tblPrEx>
          <w:tblCellMar>
            <w:top w:w="0" w:type="dxa"/>
            <w:left w:w="108" w:type="dxa"/>
            <w:bottom w:w="0" w:type="dxa"/>
            <w:right w:w="108" w:type="dxa"/>
          </w:tblCellMar>
        </w:tblPrEx>
        <w:trPr>
          <w:trHeight w:val="613" w:hRule="atLeast"/>
        </w:trPr>
        <w:tc>
          <w:tcPr>
            <w:tcW w:w="880" w:type="dxa"/>
            <w:tcBorders>
              <w:top w:val="single" w:color="auto" w:sz="4" w:space="0"/>
              <w:left w:val="single" w:color="auto" w:sz="4" w:space="0"/>
              <w:bottom w:val="single" w:color="auto" w:sz="4" w:space="0"/>
              <w:right w:val="single" w:color="auto" w:sz="4" w:space="0"/>
            </w:tcBorders>
            <w:vAlign w:val="top"/>
          </w:tcPr>
          <w:p w14:paraId="7803B80A">
            <w:pPr>
              <w:pStyle w:val="41"/>
              <w:keepNext w:val="0"/>
              <w:keepLines w:val="0"/>
              <w:suppressLineNumbers w:val="0"/>
              <w:spacing w:before="100" w:beforeAutospacing="0" w:after="0" w:afterAutospacing="0" w:line="174" w:lineRule="auto"/>
              <w:ind w:left="198" w:leftChars="0" w:right="0"/>
              <w:rPr>
                <w:rFonts w:hint="eastAsia" w:ascii="仿宋" w:hAnsi="仿宋" w:eastAsia="仿宋" w:cs="仿宋"/>
                <w:kern w:val="0"/>
                <w:sz w:val="30"/>
                <w:szCs w:val="30"/>
                <w:u w:val="none"/>
              </w:rPr>
            </w:pPr>
            <w:r>
              <w:rPr>
                <w:rFonts w:hint="default"/>
                <w:u w:val="none"/>
              </w:rPr>
              <w:t>3</w:t>
            </w:r>
          </w:p>
        </w:tc>
        <w:tc>
          <w:tcPr>
            <w:tcW w:w="4526" w:type="dxa"/>
            <w:tcBorders>
              <w:top w:val="single" w:color="auto" w:sz="4" w:space="0"/>
              <w:left w:val="single" w:color="auto" w:sz="4" w:space="0"/>
              <w:bottom w:val="single" w:color="auto" w:sz="4" w:space="0"/>
              <w:right w:val="single" w:color="auto" w:sz="4" w:space="0"/>
            </w:tcBorders>
            <w:vAlign w:val="top"/>
          </w:tcPr>
          <w:p w14:paraId="3C1D29E5">
            <w:pPr>
              <w:pStyle w:val="41"/>
              <w:keepNext w:val="0"/>
              <w:keepLines w:val="0"/>
              <w:suppressLineNumbers w:val="0"/>
              <w:spacing w:before="48" w:beforeAutospacing="0" w:after="0" w:afterAutospacing="0" w:line="206" w:lineRule="auto"/>
              <w:ind w:left="0" w:right="0"/>
              <w:jc w:val="center"/>
              <w:rPr>
                <w:rFonts w:hint="eastAsia" w:ascii="仿宋" w:hAnsi="仿宋" w:eastAsia="仿宋" w:cs="仿宋"/>
                <w:kern w:val="0"/>
                <w:sz w:val="30"/>
                <w:szCs w:val="30"/>
                <w:u w:val="none"/>
                <w:lang w:eastAsia="zh-CN"/>
              </w:rPr>
            </w:pPr>
            <w:r>
              <w:rPr>
                <w:rFonts w:hint="default"/>
                <w:spacing w:val="-4"/>
                <w:u w:val="none"/>
              </w:rPr>
              <w:t>包头市口岸服务中心</w:t>
            </w:r>
          </w:p>
        </w:tc>
        <w:tc>
          <w:tcPr>
            <w:tcW w:w="3992" w:type="dxa"/>
            <w:tcBorders>
              <w:top w:val="single" w:color="auto" w:sz="4" w:space="0"/>
              <w:left w:val="single" w:color="auto" w:sz="4" w:space="0"/>
              <w:bottom w:val="single" w:color="auto" w:sz="4" w:space="0"/>
              <w:right w:val="single" w:color="auto" w:sz="4" w:space="0"/>
            </w:tcBorders>
            <w:vAlign w:val="top"/>
          </w:tcPr>
          <w:p w14:paraId="7E34C8E9">
            <w:pPr>
              <w:pStyle w:val="41"/>
              <w:keepNext w:val="0"/>
              <w:keepLines w:val="0"/>
              <w:suppressLineNumbers w:val="0"/>
              <w:spacing w:before="48" w:beforeAutospacing="0" w:after="0" w:afterAutospacing="0" w:line="206" w:lineRule="auto"/>
              <w:ind w:left="391" w:leftChars="0" w:right="0"/>
              <w:rPr>
                <w:rFonts w:hint="eastAsia" w:ascii="仿宋" w:hAnsi="仿宋" w:eastAsia="仿宋" w:cs="仿宋"/>
                <w:kern w:val="0"/>
                <w:sz w:val="30"/>
                <w:szCs w:val="30"/>
                <w:u w:val="none"/>
              </w:rPr>
            </w:pPr>
            <w:r>
              <w:rPr>
                <w:rFonts w:hint="default"/>
                <w:spacing w:val="-4"/>
                <w:u w:val="none"/>
              </w:rPr>
              <w:t>公益一类事业单位</w:t>
            </w:r>
          </w:p>
        </w:tc>
      </w:tr>
    </w:tbl>
    <w:p w14:paraId="15B8FF0D">
      <w:pPr>
        <w:spacing w:line="600" w:lineRule="exact"/>
        <w:rPr>
          <w:rFonts w:eastAsia="仿宋_GB2312" w:cstheme="minorBidi"/>
          <w:sz w:val="32"/>
          <w:szCs w:val="32"/>
          <w:u w:val="none"/>
        </w:rPr>
      </w:pPr>
    </w:p>
    <w:p w14:paraId="5AB794F8">
      <w:pPr>
        <w:spacing w:line="600" w:lineRule="exact"/>
        <w:ind w:firstLine="640" w:firstLineChars="200"/>
        <w:rPr>
          <w:rFonts w:hint="eastAsia" w:eastAsia="黑体" w:cs="黑体"/>
          <w:sz w:val="32"/>
          <w:szCs w:val="36"/>
          <w:highlight w:val="yellow"/>
          <w:u w:val="none"/>
        </w:rPr>
      </w:pPr>
    </w:p>
    <w:p w14:paraId="0BF9FAD9">
      <w:pPr>
        <w:spacing w:line="600" w:lineRule="exact"/>
        <w:ind w:firstLine="640" w:firstLineChars="200"/>
        <w:rPr>
          <w:rFonts w:hint="eastAsia" w:eastAsia="黑体" w:cs="黑体"/>
          <w:sz w:val="32"/>
          <w:szCs w:val="36"/>
          <w:highlight w:val="yellow"/>
          <w:u w:val="none"/>
        </w:rPr>
      </w:pPr>
    </w:p>
    <w:p w14:paraId="11F43627">
      <w:pPr>
        <w:spacing w:line="600" w:lineRule="exact"/>
        <w:ind w:firstLine="640" w:firstLineChars="200"/>
        <w:rPr>
          <w:rFonts w:hint="eastAsia" w:eastAsia="黑体" w:cs="黑体"/>
          <w:sz w:val="32"/>
          <w:szCs w:val="36"/>
          <w:highlight w:val="yellow"/>
          <w:u w:val="none"/>
        </w:rPr>
      </w:pPr>
    </w:p>
    <w:p w14:paraId="4D82686D">
      <w:pPr>
        <w:spacing w:line="600" w:lineRule="exact"/>
        <w:rPr>
          <w:rFonts w:hint="eastAsia" w:eastAsia="黑体" w:cs="黑体"/>
          <w:sz w:val="32"/>
          <w:szCs w:val="36"/>
          <w:highlight w:val="yellow"/>
          <w:u w:val="none"/>
        </w:rPr>
      </w:pPr>
    </w:p>
    <w:p w14:paraId="5E8CA6E1">
      <w:pPr>
        <w:spacing w:line="600" w:lineRule="exact"/>
        <w:ind w:firstLine="640" w:firstLineChars="200"/>
        <w:rPr>
          <w:rFonts w:hint="eastAsia" w:eastAsia="黑体" w:cs="黑体"/>
          <w:sz w:val="32"/>
          <w:szCs w:val="36"/>
          <w:highlight w:val="none"/>
          <w:u w:val="none"/>
        </w:rPr>
      </w:pPr>
      <w:r>
        <w:rPr>
          <w:rFonts w:hint="eastAsia" w:eastAsia="黑体" w:cs="黑体"/>
          <w:sz w:val="32"/>
          <w:szCs w:val="36"/>
          <w:highlight w:val="none"/>
          <w:u w:val="none"/>
        </w:rPr>
        <w:t>三、</w:t>
      </w:r>
      <w:r>
        <w:rPr>
          <w:rFonts w:hint="eastAsia" w:eastAsia="黑体" w:cs="黑体"/>
          <w:sz w:val="32"/>
          <w:szCs w:val="36"/>
          <w:highlight w:val="none"/>
          <w:u w:val="none"/>
          <w:lang w:val="en-US" w:eastAsia="zh-CN"/>
        </w:rPr>
        <w:t>2026</w:t>
      </w:r>
      <w:r>
        <w:rPr>
          <w:rFonts w:hint="eastAsia" w:eastAsia="黑体" w:cs="黑体"/>
          <w:sz w:val="32"/>
          <w:szCs w:val="36"/>
          <w:highlight w:val="none"/>
          <w:u w:val="none"/>
        </w:rPr>
        <w:t>年部门主要工作任务及目标</w:t>
      </w:r>
    </w:p>
    <w:p w14:paraId="188DFF19">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r>
        <w:rPr>
          <w:rFonts w:hint="default" w:ascii="仿宋" w:hAnsi="仿宋" w:eastAsia="仿宋" w:cs="仿宋"/>
          <w:spacing w:val="9"/>
          <w:kern w:val="2"/>
          <w:sz w:val="31"/>
          <w:szCs w:val="31"/>
          <w:u w:val="none"/>
          <w:lang w:val="en-US" w:eastAsia="zh-CN" w:bidi="ar-SA"/>
        </w:rPr>
        <w:t>202</w:t>
      </w:r>
      <w:r>
        <w:rPr>
          <w:rFonts w:hint="eastAsia" w:ascii="仿宋" w:hAnsi="仿宋" w:eastAsia="仿宋" w:cs="仿宋"/>
          <w:spacing w:val="9"/>
          <w:kern w:val="2"/>
          <w:sz w:val="31"/>
          <w:szCs w:val="31"/>
          <w:u w:val="none"/>
          <w:lang w:val="en-US" w:eastAsia="zh-CN" w:bidi="ar-SA"/>
        </w:rPr>
        <w:t>6</w:t>
      </w:r>
      <w:r>
        <w:rPr>
          <w:rFonts w:hint="default" w:ascii="仿宋" w:hAnsi="仿宋" w:eastAsia="仿宋" w:cs="仿宋"/>
          <w:spacing w:val="9"/>
          <w:kern w:val="2"/>
          <w:sz w:val="31"/>
          <w:szCs w:val="31"/>
          <w:u w:val="none"/>
          <w:lang w:val="en-US" w:eastAsia="zh-CN" w:bidi="ar-SA"/>
        </w:rPr>
        <w:t>年，</w:t>
      </w:r>
      <w:r>
        <w:rPr>
          <w:rFonts w:hint="eastAsia" w:ascii="仿宋" w:hAnsi="仿宋" w:eastAsia="仿宋" w:cs="仿宋"/>
          <w:spacing w:val="9"/>
          <w:kern w:val="2"/>
          <w:sz w:val="31"/>
          <w:szCs w:val="31"/>
          <w:u w:val="none"/>
          <w:lang w:val="en-US" w:eastAsia="zh-CN" w:bidi="ar-SA"/>
        </w:rPr>
        <w:t>包头</w:t>
      </w:r>
      <w:r>
        <w:rPr>
          <w:rFonts w:hint="default" w:ascii="仿宋" w:hAnsi="仿宋" w:eastAsia="仿宋" w:cs="仿宋"/>
          <w:spacing w:val="9"/>
          <w:kern w:val="2"/>
          <w:sz w:val="31"/>
          <w:szCs w:val="31"/>
          <w:u w:val="none"/>
          <w:lang w:val="en-US" w:eastAsia="zh-CN" w:bidi="ar-SA"/>
        </w:rPr>
        <w:t>市商务局将以习近平新时代中国特色社会主义思想为指导，全面贯彻党的二十届</w:t>
      </w:r>
      <w:r>
        <w:rPr>
          <w:rFonts w:hint="eastAsia" w:ascii="仿宋" w:hAnsi="仿宋" w:eastAsia="仿宋" w:cs="仿宋"/>
          <w:spacing w:val="9"/>
          <w:kern w:val="2"/>
          <w:sz w:val="31"/>
          <w:szCs w:val="31"/>
          <w:u w:val="none"/>
          <w:lang w:val="en-US" w:eastAsia="zh-CN" w:bidi="ar-SA"/>
        </w:rPr>
        <w:t>四</w:t>
      </w:r>
      <w:r>
        <w:rPr>
          <w:rFonts w:hint="default" w:ascii="仿宋" w:hAnsi="仿宋" w:eastAsia="仿宋" w:cs="仿宋"/>
          <w:spacing w:val="9"/>
          <w:kern w:val="2"/>
          <w:sz w:val="31"/>
          <w:szCs w:val="31"/>
          <w:u w:val="none"/>
          <w:lang w:val="en-US" w:eastAsia="zh-CN" w:bidi="ar-SA"/>
        </w:rPr>
        <w:t>中全会精神，</w:t>
      </w:r>
      <w:r>
        <w:rPr>
          <w:rFonts w:hint="eastAsia" w:ascii="仿宋" w:hAnsi="仿宋" w:eastAsia="仿宋" w:cs="仿宋"/>
          <w:spacing w:val="9"/>
          <w:kern w:val="2"/>
          <w:sz w:val="31"/>
          <w:szCs w:val="31"/>
          <w:u w:val="none"/>
          <w:lang w:val="en-US" w:eastAsia="zh-CN" w:bidi="ar-SA"/>
        </w:rPr>
        <w:t>以党建为引领，</w:t>
      </w:r>
      <w:r>
        <w:rPr>
          <w:rFonts w:hint="default" w:ascii="仿宋" w:hAnsi="仿宋" w:eastAsia="仿宋" w:cs="仿宋"/>
          <w:spacing w:val="9"/>
          <w:kern w:val="2"/>
          <w:sz w:val="31"/>
          <w:szCs w:val="31"/>
          <w:u w:val="none"/>
          <w:lang w:val="en-US" w:eastAsia="zh-CN" w:bidi="ar-SA"/>
        </w:rPr>
        <w:t>以铸牢中华民族共同体意识为工作主线，</w:t>
      </w:r>
      <w:r>
        <w:rPr>
          <w:rFonts w:hint="eastAsia" w:ascii="仿宋" w:hAnsi="仿宋" w:eastAsia="仿宋" w:cs="仿宋"/>
          <w:spacing w:val="9"/>
          <w:kern w:val="2"/>
          <w:sz w:val="31"/>
          <w:szCs w:val="31"/>
          <w:u w:val="none"/>
          <w:lang w:val="en-US" w:eastAsia="zh-CN" w:bidi="ar-SA"/>
        </w:rPr>
        <w:t>全面落实市委、市政府工作部署，</w:t>
      </w:r>
      <w:r>
        <w:rPr>
          <w:rFonts w:hint="default" w:ascii="仿宋" w:hAnsi="仿宋" w:eastAsia="仿宋" w:cs="仿宋"/>
          <w:spacing w:val="9"/>
          <w:kern w:val="2"/>
          <w:sz w:val="31"/>
          <w:szCs w:val="31"/>
          <w:u w:val="none"/>
          <w:lang w:val="en-US" w:eastAsia="zh-CN" w:bidi="ar-SA"/>
        </w:rPr>
        <w:t>立足商务工作“三个重要”定位，全力以赴促消费、稳外贸、稳外资、扩开放，为建设黄河“几字弯”都市圈现代化中心城市筑牢</w:t>
      </w:r>
      <w:r>
        <w:rPr>
          <w:rFonts w:hint="eastAsia" w:ascii="仿宋" w:hAnsi="仿宋" w:eastAsia="仿宋" w:cs="仿宋"/>
          <w:spacing w:val="9"/>
          <w:kern w:val="2"/>
          <w:sz w:val="31"/>
          <w:szCs w:val="31"/>
          <w:u w:val="none"/>
          <w:lang w:val="en-US" w:eastAsia="zh-CN" w:bidi="ar-SA"/>
        </w:rPr>
        <w:t>商务</w:t>
      </w:r>
      <w:r>
        <w:rPr>
          <w:rFonts w:hint="default" w:ascii="仿宋" w:hAnsi="仿宋" w:eastAsia="仿宋" w:cs="仿宋"/>
          <w:spacing w:val="9"/>
          <w:kern w:val="2"/>
          <w:sz w:val="31"/>
          <w:szCs w:val="31"/>
          <w:u w:val="none"/>
          <w:lang w:val="en-US" w:eastAsia="zh-CN" w:bidi="ar-SA"/>
        </w:rPr>
        <w:t>根基。</w:t>
      </w:r>
    </w:p>
    <w:p w14:paraId="07E21074">
      <w:pPr>
        <w:adjustRightInd w:val="0"/>
        <w:snapToGrid w:val="0"/>
        <w:spacing w:line="560" w:lineRule="exact"/>
        <w:ind w:firstLine="656" w:firstLineChars="200"/>
        <w:jc w:val="both"/>
        <w:rPr>
          <w:rFonts w:hint="eastAsia" w:ascii="仿宋" w:hAnsi="仿宋" w:eastAsia="仿宋" w:cs="仿宋"/>
          <w:spacing w:val="9"/>
          <w:kern w:val="2"/>
          <w:sz w:val="31"/>
          <w:szCs w:val="31"/>
          <w:u w:val="none"/>
          <w:lang w:val="en-US" w:eastAsia="zh-CN" w:bidi="ar-SA"/>
        </w:rPr>
      </w:pPr>
      <w:r>
        <w:rPr>
          <w:rFonts w:hint="eastAsia" w:ascii="仿宋" w:hAnsi="仿宋" w:eastAsia="仿宋" w:cs="仿宋"/>
          <w:spacing w:val="9"/>
          <w:kern w:val="2"/>
          <w:sz w:val="31"/>
          <w:szCs w:val="31"/>
          <w:u w:val="none"/>
          <w:lang w:val="en-US" w:eastAsia="zh-CN" w:bidi="ar-SA"/>
        </w:rPr>
        <w:t>（一）瞄定高质量发展目标，实现指标新提升</w:t>
      </w:r>
    </w:p>
    <w:p w14:paraId="59918D4B">
      <w:pPr>
        <w:adjustRightInd w:val="0"/>
        <w:snapToGrid w:val="0"/>
        <w:spacing w:line="560" w:lineRule="exact"/>
        <w:ind w:firstLine="656" w:firstLineChars="200"/>
        <w:jc w:val="both"/>
        <w:rPr>
          <w:rFonts w:hint="eastAsia" w:ascii="仿宋" w:hAnsi="仿宋" w:eastAsia="仿宋" w:cs="仿宋"/>
          <w:spacing w:val="9"/>
          <w:kern w:val="2"/>
          <w:sz w:val="31"/>
          <w:szCs w:val="31"/>
          <w:u w:val="none"/>
          <w:lang w:val="en-US" w:eastAsia="zh-CN" w:bidi="ar-SA"/>
        </w:rPr>
      </w:pPr>
      <w:r>
        <w:rPr>
          <w:rFonts w:hint="eastAsia" w:ascii="仿宋" w:hAnsi="仿宋" w:eastAsia="仿宋" w:cs="仿宋"/>
          <w:spacing w:val="9"/>
          <w:kern w:val="2"/>
          <w:sz w:val="31"/>
          <w:szCs w:val="31"/>
          <w:u w:val="none"/>
          <w:lang w:val="en-US" w:eastAsia="zh-CN" w:bidi="ar-SA"/>
        </w:rPr>
        <w:t>1.全市社会消费品零售总额，增速5%以上，总量保持全区第二。</w:t>
      </w:r>
    </w:p>
    <w:p w14:paraId="7DD27DA3">
      <w:pPr>
        <w:adjustRightInd w:val="0"/>
        <w:snapToGrid w:val="0"/>
        <w:spacing w:line="560" w:lineRule="exact"/>
        <w:ind w:firstLine="656" w:firstLineChars="200"/>
        <w:jc w:val="both"/>
        <w:rPr>
          <w:rFonts w:hint="eastAsia" w:ascii="仿宋" w:hAnsi="仿宋" w:eastAsia="仿宋" w:cs="仿宋"/>
          <w:spacing w:val="9"/>
          <w:kern w:val="2"/>
          <w:sz w:val="31"/>
          <w:szCs w:val="31"/>
          <w:u w:val="none"/>
          <w:lang w:val="en-US" w:eastAsia="zh-CN" w:bidi="ar-SA"/>
        </w:rPr>
      </w:pPr>
      <w:r>
        <w:rPr>
          <w:rFonts w:hint="eastAsia" w:ascii="仿宋" w:hAnsi="仿宋" w:eastAsia="仿宋" w:cs="仿宋"/>
          <w:spacing w:val="9"/>
          <w:kern w:val="2"/>
          <w:sz w:val="31"/>
          <w:szCs w:val="31"/>
          <w:u w:val="none"/>
          <w:lang w:val="en-US" w:eastAsia="zh-CN" w:bidi="ar-SA"/>
        </w:rPr>
        <w:t>2.全市对外进出口贸易额，总量保持全区前三，增速高于全区平均水平。</w:t>
      </w:r>
    </w:p>
    <w:p w14:paraId="56CBB6D9">
      <w:pPr>
        <w:adjustRightInd w:val="0"/>
        <w:snapToGrid w:val="0"/>
        <w:spacing w:line="560" w:lineRule="exact"/>
        <w:ind w:firstLine="656" w:firstLineChars="200"/>
        <w:jc w:val="both"/>
        <w:rPr>
          <w:rFonts w:hint="eastAsia" w:ascii="仿宋" w:hAnsi="仿宋" w:eastAsia="仿宋" w:cs="仿宋"/>
          <w:spacing w:val="9"/>
          <w:kern w:val="2"/>
          <w:sz w:val="31"/>
          <w:szCs w:val="31"/>
          <w:u w:val="none"/>
          <w:lang w:val="en-US" w:eastAsia="zh-CN" w:bidi="ar-SA"/>
        </w:rPr>
      </w:pPr>
      <w:r>
        <w:rPr>
          <w:rFonts w:hint="eastAsia" w:ascii="仿宋" w:hAnsi="仿宋" w:eastAsia="仿宋" w:cs="仿宋"/>
          <w:spacing w:val="9"/>
          <w:kern w:val="2"/>
          <w:sz w:val="31"/>
          <w:szCs w:val="31"/>
          <w:u w:val="none"/>
          <w:lang w:val="en-US" w:eastAsia="zh-CN" w:bidi="ar-SA"/>
        </w:rPr>
        <w:t>3.全市实际利用外资，总量保持全区前三，增速高于全区平均水平。</w:t>
      </w:r>
    </w:p>
    <w:p w14:paraId="4065C51D">
      <w:pPr>
        <w:adjustRightInd w:val="0"/>
        <w:snapToGrid w:val="0"/>
        <w:spacing w:line="560" w:lineRule="exact"/>
        <w:ind w:firstLine="656" w:firstLineChars="200"/>
        <w:jc w:val="both"/>
        <w:rPr>
          <w:rFonts w:hint="eastAsia" w:ascii="仿宋" w:hAnsi="仿宋" w:eastAsia="仿宋" w:cs="仿宋"/>
          <w:spacing w:val="9"/>
          <w:kern w:val="2"/>
          <w:sz w:val="31"/>
          <w:szCs w:val="31"/>
          <w:u w:val="none"/>
          <w:lang w:val="en-US" w:eastAsia="zh-CN" w:bidi="ar-SA"/>
        </w:rPr>
      </w:pPr>
      <w:r>
        <w:rPr>
          <w:rFonts w:hint="eastAsia" w:ascii="仿宋" w:hAnsi="仿宋" w:eastAsia="仿宋" w:cs="仿宋"/>
          <w:spacing w:val="9"/>
          <w:kern w:val="2"/>
          <w:sz w:val="31"/>
          <w:szCs w:val="31"/>
          <w:u w:val="none"/>
          <w:lang w:val="en-US" w:eastAsia="zh-CN" w:bidi="ar-SA"/>
        </w:rPr>
        <w:t>4.满都拉口岸过货量增速增速高于全区平均水平。</w:t>
      </w:r>
    </w:p>
    <w:p w14:paraId="125B5CD6">
      <w:pPr>
        <w:adjustRightInd w:val="0"/>
        <w:snapToGrid w:val="0"/>
        <w:spacing w:line="560" w:lineRule="exact"/>
        <w:ind w:firstLine="656" w:firstLineChars="200"/>
        <w:jc w:val="both"/>
        <w:rPr>
          <w:rFonts w:hint="eastAsia" w:ascii="仿宋" w:hAnsi="仿宋" w:eastAsia="仿宋" w:cs="仿宋"/>
          <w:spacing w:val="9"/>
          <w:kern w:val="2"/>
          <w:sz w:val="31"/>
          <w:szCs w:val="31"/>
          <w:u w:val="none"/>
          <w:lang w:val="en-US" w:eastAsia="zh-CN" w:bidi="ar-SA"/>
        </w:rPr>
      </w:pPr>
      <w:r>
        <w:rPr>
          <w:rFonts w:hint="eastAsia" w:ascii="仿宋" w:hAnsi="仿宋" w:eastAsia="仿宋" w:cs="仿宋"/>
          <w:spacing w:val="9"/>
          <w:kern w:val="2"/>
          <w:sz w:val="31"/>
          <w:szCs w:val="31"/>
          <w:u w:val="none"/>
          <w:lang w:val="en-US" w:eastAsia="zh-CN" w:bidi="ar-SA"/>
        </w:rPr>
        <w:t>（二）聚力创建试点示范，打造发展新标杆</w:t>
      </w:r>
    </w:p>
    <w:p w14:paraId="555124CF">
      <w:pPr>
        <w:adjustRightInd w:val="0"/>
        <w:snapToGrid w:val="0"/>
        <w:spacing w:line="560" w:lineRule="exact"/>
        <w:ind w:firstLine="656" w:firstLineChars="200"/>
        <w:jc w:val="both"/>
        <w:rPr>
          <w:rFonts w:hint="eastAsia" w:ascii="仿宋" w:hAnsi="仿宋" w:eastAsia="仿宋" w:cs="仿宋"/>
          <w:spacing w:val="9"/>
          <w:kern w:val="2"/>
          <w:sz w:val="31"/>
          <w:szCs w:val="31"/>
          <w:u w:val="none"/>
          <w:lang w:val="en-US" w:eastAsia="zh-CN" w:bidi="ar-SA"/>
        </w:rPr>
      </w:pPr>
      <w:r>
        <w:rPr>
          <w:rFonts w:hint="eastAsia" w:ascii="仿宋" w:hAnsi="仿宋" w:eastAsia="仿宋" w:cs="仿宋"/>
          <w:spacing w:val="9"/>
          <w:kern w:val="2"/>
          <w:sz w:val="31"/>
          <w:szCs w:val="31"/>
          <w:u w:val="none"/>
          <w:lang w:val="en-US" w:eastAsia="zh-CN" w:bidi="ar-SA"/>
        </w:rPr>
        <w:t>1.争创全国现代商贸流通体系试点城市。补齐我市现代流通网络短板，促进商业服务能级提质升级。</w:t>
      </w:r>
    </w:p>
    <w:p w14:paraId="7C1D6D01">
      <w:pPr>
        <w:adjustRightInd w:val="0"/>
        <w:snapToGrid w:val="0"/>
        <w:spacing w:line="560" w:lineRule="exact"/>
        <w:ind w:firstLine="656" w:firstLineChars="200"/>
        <w:jc w:val="both"/>
        <w:rPr>
          <w:rFonts w:hint="eastAsia" w:ascii="仿宋" w:hAnsi="仿宋" w:eastAsia="仿宋" w:cs="仿宋"/>
          <w:spacing w:val="9"/>
          <w:kern w:val="2"/>
          <w:sz w:val="31"/>
          <w:szCs w:val="31"/>
          <w:u w:val="none"/>
          <w:lang w:val="en-US" w:eastAsia="zh-CN" w:bidi="ar-SA"/>
        </w:rPr>
      </w:pPr>
      <w:r>
        <w:rPr>
          <w:rFonts w:hint="eastAsia" w:ascii="仿宋" w:hAnsi="仿宋" w:eastAsia="仿宋" w:cs="仿宋"/>
          <w:spacing w:val="9"/>
          <w:kern w:val="2"/>
          <w:sz w:val="31"/>
          <w:szCs w:val="31"/>
          <w:u w:val="none"/>
          <w:lang w:val="en-US" w:eastAsia="zh-CN" w:bidi="ar-SA"/>
        </w:rPr>
        <w:t>2.争创国家汽车流通消费改革试点城市。促进我市建设北方地区汽车流通重要枢纽，打造向北开放汽车出口示范。</w:t>
      </w:r>
    </w:p>
    <w:p w14:paraId="7360E39D">
      <w:pPr>
        <w:adjustRightInd w:val="0"/>
        <w:snapToGrid w:val="0"/>
        <w:spacing w:line="560" w:lineRule="exact"/>
        <w:ind w:firstLine="656" w:firstLineChars="200"/>
        <w:jc w:val="both"/>
        <w:rPr>
          <w:rFonts w:hint="eastAsia" w:ascii="仿宋" w:hAnsi="仿宋" w:eastAsia="仿宋" w:cs="仿宋"/>
          <w:spacing w:val="9"/>
          <w:kern w:val="2"/>
          <w:sz w:val="31"/>
          <w:szCs w:val="31"/>
          <w:u w:val="none"/>
          <w:lang w:val="en-US" w:eastAsia="zh-CN" w:bidi="ar-SA"/>
        </w:rPr>
      </w:pPr>
      <w:r>
        <w:rPr>
          <w:rFonts w:hint="eastAsia" w:ascii="仿宋" w:hAnsi="仿宋" w:eastAsia="仿宋" w:cs="仿宋"/>
          <w:spacing w:val="9"/>
          <w:kern w:val="2"/>
          <w:sz w:val="31"/>
          <w:szCs w:val="31"/>
          <w:u w:val="none"/>
          <w:lang w:val="en-US" w:eastAsia="zh-CN" w:bidi="ar-SA"/>
        </w:rPr>
        <w:t>3.争创全国示范步行街（商圈）。推动我市商业设施提升、文化业态融合、消费载体提质。</w:t>
      </w:r>
    </w:p>
    <w:p w14:paraId="1D1809DF">
      <w:pPr>
        <w:adjustRightInd w:val="0"/>
        <w:snapToGrid w:val="0"/>
        <w:spacing w:line="560" w:lineRule="exact"/>
        <w:ind w:firstLine="656" w:firstLineChars="200"/>
        <w:jc w:val="both"/>
        <w:rPr>
          <w:rFonts w:hint="eastAsia" w:ascii="仿宋" w:hAnsi="仿宋" w:eastAsia="仿宋" w:cs="仿宋"/>
          <w:spacing w:val="9"/>
          <w:kern w:val="2"/>
          <w:sz w:val="31"/>
          <w:szCs w:val="31"/>
          <w:u w:val="none"/>
          <w:lang w:val="en-US" w:eastAsia="zh-CN" w:bidi="ar-SA"/>
        </w:rPr>
      </w:pPr>
      <w:r>
        <w:rPr>
          <w:rFonts w:hint="eastAsia" w:ascii="仿宋" w:hAnsi="仿宋" w:eastAsia="仿宋" w:cs="仿宋"/>
          <w:spacing w:val="9"/>
          <w:kern w:val="2"/>
          <w:sz w:val="31"/>
          <w:szCs w:val="31"/>
          <w:u w:val="none"/>
          <w:lang w:val="en-US" w:eastAsia="zh-CN" w:bidi="ar-SA"/>
        </w:rPr>
        <w:t>4.争创国家跨境贸易便利化试点城市。为我市进出口企业创造便利条件，推动外向型经济高质量发展。</w:t>
      </w:r>
    </w:p>
    <w:p w14:paraId="1DADFA8D">
      <w:pPr>
        <w:adjustRightInd w:val="0"/>
        <w:snapToGrid w:val="0"/>
        <w:spacing w:line="560" w:lineRule="exact"/>
        <w:ind w:firstLine="656" w:firstLineChars="200"/>
        <w:jc w:val="both"/>
        <w:rPr>
          <w:rFonts w:hint="eastAsia" w:ascii="仿宋" w:hAnsi="仿宋" w:eastAsia="仿宋" w:cs="仿宋"/>
          <w:spacing w:val="9"/>
          <w:kern w:val="2"/>
          <w:sz w:val="31"/>
          <w:szCs w:val="31"/>
          <w:u w:val="none"/>
          <w:lang w:val="en-US" w:eastAsia="zh-CN" w:bidi="ar-SA"/>
        </w:rPr>
      </w:pPr>
      <w:r>
        <w:rPr>
          <w:rFonts w:hint="eastAsia" w:ascii="仿宋" w:hAnsi="仿宋" w:eastAsia="仿宋" w:cs="仿宋"/>
          <w:spacing w:val="9"/>
          <w:kern w:val="2"/>
          <w:sz w:val="31"/>
          <w:szCs w:val="31"/>
          <w:u w:val="none"/>
          <w:lang w:val="en-US" w:eastAsia="zh-CN" w:bidi="ar-SA"/>
        </w:rPr>
        <w:t>（三）聚焦重点精准施策，确保工作取得新成效</w:t>
      </w:r>
    </w:p>
    <w:p w14:paraId="24A6B153">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r>
        <w:rPr>
          <w:rFonts w:hint="default" w:ascii="仿宋" w:hAnsi="仿宋" w:eastAsia="仿宋" w:cs="仿宋"/>
          <w:spacing w:val="9"/>
          <w:kern w:val="2"/>
          <w:sz w:val="31"/>
          <w:szCs w:val="31"/>
          <w:u w:val="none"/>
          <w:lang w:val="en-US" w:eastAsia="zh-CN" w:bidi="ar-SA"/>
        </w:rPr>
        <w:t>——激活消费潜能，推动构筑商贸体系新优势</w:t>
      </w:r>
    </w:p>
    <w:p w14:paraId="2F678B13">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r>
        <w:rPr>
          <w:rFonts w:hint="default" w:ascii="仿宋" w:hAnsi="仿宋" w:eastAsia="仿宋" w:cs="仿宋"/>
          <w:spacing w:val="9"/>
          <w:kern w:val="2"/>
          <w:sz w:val="31"/>
          <w:szCs w:val="31"/>
          <w:u w:val="none"/>
          <w:lang w:val="en-US" w:eastAsia="zh-CN" w:bidi="ar-SA"/>
        </w:rPr>
        <w:t>1.焕新传统消费。以“政策引导+活动牵引”双轮驱动，提质增效实施消费品以旧换新，持续办好“约惠鹿城”系列品牌促消费活动，围绕重要节点精准施策，营造全域参与、全年持续的消费热潮。研究制定支持政策，大力发展首发经济、国潮消费。支持本土老字号与新锐品牌创新升级，推动消费供给向高品质、个性化跃升。</w:t>
      </w:r>
    </w:p>
    <w:p w14:paraId="2615FFF9">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r>
        <w:rPr>
          <w:rFonts w:hint="default" w:ascii="仿宋" w:hAnsi="仿宋" w:eastAsia="仿宋" w:cs="仿宋"/>
          <w:spacing w:val="9"/>
          <w:kern w:val="2"/>
          <w:sz w:val="31"/>
          <w:szCs w:val="31"/>
          <w:u w:val="none"/>
          <w:lang w:val="en-US" w:eastAsia="zh-CN" w:bidi="ar-SA"/>
        </w:rPr>
        <w:t>2.提振新型消费。顺应消费结构向“商品+服务”升级趋势，提升餐饮消费品质，培育本地特色餐饮品牌，引进知名连锁餐饮；推动家政服务向标准化、品牌化发展，丰富休闲娱乐、健康养老等服务供给；深化商旅文体融合，依托赛事、演艺、文旅等活动延伸消费链条，以点带面打造一批服务消费新亮点。发展即时零售、云上购物、社区团购等新模式，建设“人工智能+消费”的新场景。依托包免国际，发挥跨境电商零售进口积极作用，吸引国际知名品牌，扩大进口消费。</w:t>
      </w:r>
    </w:p>
    <w:p w14:paraId="63DFEB17">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r>
        <w:rPr>
          <w:rFonts w:hint="default" w:ascii="仿宋" w:hAnsi="仿宋" w:eastAsia="仿宋" w:cs="仿宋"/>
          <w:spacing w:val="9"/>
          <w:kern w:val="2"/>
          <w:sz w:val="31"/>
          <w:szCs w:val="31"/>
          <w:u w:val="none"/>
          <w:lang w:val="en-US" w:eastAsia="zh-CN" w:bidi="ar-SA"/>
        </w:rPr>
        <w:t>3.重构流通体系。围绕“商圈聚核、街区织网、社区生根”发展思路，巩固提升昆区、新都市区2大核心商圈，推动包百提档升级，在九原地下空间打造全市首例山姆会员式仓储会员超市，逐步推进鞍山道步行街等特色街区基础设施改造与业态升级，推进3—5个专业市场升级改造，新建20个一刻钟便民生活圈，推动形成层次分明、布局合理、功能完善的城乡商业网络。</w:t>
      </w:r>
    </w:p>
    <w:p w14:paraId="30F13FFE">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r>
        <w:rPr>
          <w:rFonts w:hint="default" w:ascii="仿宋" w:hAnsi="仿宋" w:eastAsia="仿宋" w:cs="仿宋"/>
          <w:spacing w:val="9"/>
          <w:kern w:val="2"/>
          <w:sz w:val="31"/>
          <w:szCs w:val="31"/>
          <w:u w:val="none"/>
          <w:lang w:val="en-US" w:eastAsia="zh-CN" w:bidi="ar-SA"/>
        </w:rPr>
        <w:t>——提升开放能级，推动“三外”协同开拓新路径</w:t>
      </w:r>
    </w:p>
    <w:p w14:paraId="504E8400">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r>
        <w:rPr>
          <w:rFonts w:hint="default" w:ascii="仿宋" w:hAnsi="仿宋" w:eastAsia="仿宋" w:cs="仿宋"/>
          <w:spacing w:val="9"/>
          <w:kern w:val="2"/>
          <w:sz w:val="31"/>
          <w:szCs w:val="31"/>
          <w:u w:val="none"/>
          <w:lang w:val="en-US" w:eastAsia="zh-CN" w:bidi="ar-SA"/>
        </w:rPr>
        <w:t>4.激活对外贸易动能。开展外贸企业大走访和精准帮扶，助力企业稳订单、拓市场。开展以商招商、产业链招商，积极引进和培育外贸综合服务企业，推动重点生产企业进出口数据回流。聚力发展外贸新业态，推进满都拉边民互市贸易区高质量运营，实现贸易额2000万元以上。推进跨境电商产业园集聚发展，支持企业在蒙古、俄罗斯等国家布局海外仓，打造西北地区跨境电商枢纽，实现贸易额4亿元以上。加大二手车出口企业培育力度，争创自治区二手车出口基地。</w:t>
      </w:r>
    </w:p>
    <w:p w14:paraId="233ACFFC">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r>
        <w:rPr>
          <w:rFonts w:hint="default" w:ascii="仿宋" w:hAnsi="仿宋" w:eastAsia="仿宋" w:cs="仿宋"/>
          <w:spacing w:val="9"/>
          <w:kern w:val="2"/>
          <w:sz w:val="31"/>
          <w:szCs w:val="31"/>
          <w:u w:val="none"/>
          <w:lang w:val="en-US" w:eastAsia="zh-CN" w:bidi="ar-SA"/>
        </w:rPr>
        <w:t>5.推进吸引外资攻坚。以“1144”产业体系为核心，编制外资企业应用场景机会清单，在包举办企业圆桌会6场以上；组织“外资企业包头行”活动2场以上，在外举办包头专场推介会2场以上，为外资企业精准对接本地市场搭建桥梁。构建外资企业全生命周期服务体系，会同有关部门协调解决外资企业在政策落实过程中遇到的困难和问题，增强外资企业来包投资信心。</w:t>
      </w:r>
    </w:p>
    <w:p w14:paraId="44F3E6E9">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r>
        <w:rPr>
          <w:rFonts w:hint="default" w:ascii="仿宋" w:hAnsi="仿宋" w:eastAsia="仿宋" w:cs="仿宋"/>
          <w:spacing w:val="9"/>
          <w:kern w:val="2"/>
          <w:sz w:val="31"/>
          <w:szCs w:val="31"/>
          <w:u w:val="none"/>
          <w:lang w:val="en-US" w:eastAsia="zh-CN" w:bidi="ar-SA"/>
        </w:rPr>
        <w:t>6.拓展对外投资空间。加强境外投资风险预警和防范管理。深化与“一带一路”沿线国家合作，鼓励我市具备竞争优势的企业赴海外开展投资与技术合作，优化全球产业布局。</w:t>
      </w:r>
    </w:p>
    <w:p w14:paraId="03784A13">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r>
        <w:rPr>
          <w:rFonts w:hint="default" w:ascii="仿宋" w:hAnsi="仿宋" w:eastAsia="仿宋" w:cs="仿宋"/>
          <w:spacing w:val="9"/>
          <w:kern w:val="2"/>
          <w:sz w:val="31"/>
          <w:szCs w:val="31"/>
          <w:u w:val="none"/>
          <w:lang w:val="en-US" w:eastAsia="zh-CN" w:bidi="ar-SA"/>
        </w:rPr>
        <w:t>——建强开放枢纽，推动口岸建设展现新局面</w:t>
      </w:r>
    </w:p>
    <w:p w14:paraId="0908B095">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r>
        <w:rPr>
          <w:rFonts w:hint="default" w:ascii="仿宋" w:hAnsi="仿宋" w:eastAsia="仿宋" w:cs="仿宋"/>
          <w:spacing w:val="9"/>
          <w:kern w:val="2"/>
          <w:sz w:val="31"/>
          <w:szCs w:val="31"/>
          <w:u w:val="none"/>
          <w:lang w:val="en-US" w:eastAsia="zh-CN" w:bidi="ar-SA"/>
        </w:rPr>
        <w:t>7.推进满都拉口岸建设。全面完成货运通道扩建项目建设，进一步增强货运通关能力。推动国储铁路专用线项目年内投入使用，提升300万吨外调能力。推进松布尔海关监管区项目，提升仓储能力。积极跑办跨境铁路项目前期手续，争取纳入国家“十五五”规划，早日开工建设。推动AGV无人驾驶跨境运输升级扩容。</w:t>
      </w:r>
    </w:p>
    <w:p w14:paraId="3FD4D1A0">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r>
        <w:rPr>
          <w:rFonts w:hint="default" w:ascii="仿宋" w:hAnsi="仿宋" w:eastAsia="仿宋" w:cs="仿宋"/>
          <w:spacing w:val="9"/>
          <w:kern w:val="2"/>
          <w:sz w:val="31"/>
          <w:szCs w:val="31"/>
          <w:u w:val="none"/>
          <w:lang w:val="en-US" w:eastAsia="zh-CN" w:bidi="ar-SA"/>
        </w:rPr>
        <w:t>8.推进开放平台协调发展。借鉴自治区各保税区经验，开展包头综合保税区可行性研究，适时启动综合保税区申报工作。拓展国际航线数量和航班频次，开行包头至蒙古国及东南亚国家的国际航线，借助国内主要国际航空枢纽接入中远途国际航线网络，畅通航空跨境物流链条。</w:t>
      </w:r>
    </w:p>
    <w:p w14:paraId="6E27A3AA">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p>
    <w:p w14:paraId="5B9CC6FF">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p>
    <w:p w14:paraId="0E9FFF56">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p>
    <w:p w14:paraId="454DA886">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p>
    <w:p w14:paraId="502ABD12">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p>
    <w:p w14:paraId="2D3AD7AB">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p>
    <w:p w14:paraId="30AED411">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p>
    <w:p w14:paraId="3EAC64CD">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p>
    <w:p w14:paraId="2A0708FC">
      <w:pPr>
        <w:adjustRightInd w:val="0"/>
        <w:snapToGrid w:val="0"/>
        <w:spacing w:line="560" w:lineRule="exact"/>
        <w:ind w:firstLine="656" w:firstLineChars="200"/>
        <w:jc w:val="both"/>
        <w:rPr>
          <w:rFonts w:hint="default" w:ascii="仿宋" w:hAnsi="仿宋" w:eastAsia="仿宋" w:cs="仿宋"/>
          <w:spacing w:val="9"/>
          <w:kern w:val="2"/>
          <w:sz w:val="31"/>
          <w:szCs w:val="31"/>
          <w:u w:val="none"/>
          <w:lang w:val="en-US" w:eastAsia="zh-CN" w:bidi="ar-SA"/>
        </w:rPr>
      </w:pPr>
    </w:p>
    <w:p w14:paraId="7D6C1890">
      <w:pPr>
        <w:adjustRightInd w:val="0"/>
        <w:snapToGrid w:val="0"/>
        <w:spacing w:line="560" w:lineRule="exact"/>
        <w:ind w:firstLine="656" w:firstLineChars="200"/>
        <w:jc w:val="both"/>
        <w:rPr>
          <w:rFonts w:hint="eastAsia" w:ascii="仿宋" w:hAnsi="仿宋" w:eastAsia="仿宋" w:cs="仿宋"/>
          <w:spacing w:val="9"/>
          <w:kern w:val="2"/>
          <w:sz w:val="31"/>
          <w:szCs w:val="31"/>
          <w:u w:val="none"/>
          <w:lang w:val="en-US" w:eastAsia="zh-CN" w:bidi="ar-SA"/>
        </w:rPr>
      </w:pPr>
    </w:p>
    <w:p w14:paraId="606AA12E">
      <w:pPr>
        <w:pStyle w:val="5"/>
        <w:tabs>
          <w:tab w:val="left" w:pos="4392"/>
        </w:tabs>
        <w:spacing w:before="0" w:after="0" w:line="240" w:lineRule="auto"/>
        <w:jc w:val="center"/>
        <w:rPr>
          <w:rFonts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第二部分</w:t>
      </w:r>
      <w:r>
        <w:rPr>
          <w:rFonts w:hint="eastAsia" w:cs="Cambria" w:asciiTheme="minorEastAsia" w:hAnsiTheme="minorEastAsia" w:eastAsiaTheme="minorEastAsia"/>
          <w:b/>
          <w:bCs/>
          <w:sz w:val="36"/>
          <w:szCs w:val="36"/>
          <w:u w:val="none"/>
        </w:rPr>
        <w:t>202</w:t>
      </w:r>
      <w:r>
        <w:rPr>
          <w:rFonts w:hint="eastAsia" w:cs="Cambria" w:asciiTheme="minorEastAsia" w:hAnsiTheme="minorEastAsia" w:eastAsiaTheme="minorEastAsia"/>
          <w:b/>
          <w:bCs/>
          <w:sz w:val="36"/>
          <w:szCs w:val="36"/>
          <w:u w:val="none"/>
          <w:lang w:val="en-US" w:eastAsia="zh-CN"/>
        </w:rPr>
        <w:t>6</w:t>
      </w:r>
      <w:r>
        <w:rPr>
          <w:rFonts w:hint="eastAsia" w:ascii="方正小标宋简体" w:hAnsi="方正小标宋简体" w:eastAsia="方正小标宋简体" w:cs="方正小标宋简体"/>
          <w:b w:val="0"/>
          <w:bCs w:val="0"/>
          <w:sz w:val="36"/>
          <w:szCs w:val="36"/>
          <w:u w:val="none"/>
        </w:rPr>
        <w:t>年度</w:t>
      </w:r>
      <w:r>
        <w:rPr>
          <w:rFonts w:hint="eastAsia" w:ascii="方正小标宋简体" w:hAnsi="方正小标宋简体" w:eastAsia="方正小标宋简体" w:cs="方正小标宋简体"/>
          <w:b w:val="0"/>
          <w:bCs w:val="0"/>
          <w:sz w:val="36"/>
          <w:szCs w:val="36"/>
          <w:u w:val="none"/>
          <w:lang w:val="en-US" w:eastAsia="zh-CN"/>
        </w:rPr>
        <w:t>部门</w:t>
      </w:r>
      <w:r>
        <w:rPr>
          <w:rFonts w:hint="eastAsia" w:ascii="方正小标宋简体" w:hAnsi="方正小标宋简体" w:eastAsia="方正小标宋简体" w:cs="方正小标宋简体"/>
          <w:b w:val="0"/>
          <w:bCs w:val="0"/>
          <w:sz w:val="36"/>
          <w:szCs w:val="36"/>
          <w:u w:val="none"/>
        </w:rPr>
        <w:t>预算情况说明</w:t>
      </w:r>
    </w:p>
    <w:p w14:paraId="594BB9BE">
      <w:pPr>
        <w:spacing w:line="600" w:lineRule="exact"/>
        <w:rPr>
          <w:rFonts w:ascii="方正小标宋简体" w:hAnsi="方正小标宋简体" w:eastAsia="方正小标宋简体" w:cs="方正小标宋简体"/>
          <w:sz w:val="36"/>
          <w:szCs w:val="36"/>
          <w:u w:val="none"/>
        </w:rPr>
      </w:pPr>
    </w:p>
    <w:p w14:paraId="7936450E">
      <w:pPr>
        <w:spacing w:line="600" w:lineRule="exact"/>
        <w:ind w:firstLine="640" w:firstLineChars="200"/>
        <w:outlineLvl w:val="0"/>
        <w:rPr>
          <w:rFonts w:eastAsia="黑体" w:cs="黑体"/>
          <w:sz w:val="32"/>
          <w:szCs w:val="36"/>
          <w:u w:val="none"/>
        </w:rPr>
      </w:pPr>
      <w:r>
        <w:rPr>
          <w:rFonts w:hint="eastAsia" w:eastAsia="黑体" w:cs="黑体"/>
          <w:sz w:val="32"/>
          <w:szCs w:val="36"/>
          <w:u w:val="none"/>
        </w:rPr>
        <w:t>一、收支预算总体情况说明</w:t>
      </w:r>
    </w:p>
    <w:p w14:paraId="7E373E4A">
      <w:pPr>
        <w:pStyle w:val="8"/>
        <w:tabs>
          <w:tab w:val="left" w:pos="5840"/>
          <w:tab w:val="left" w:pos="7858"/>
          <w:tab w:val="left" w:pos="9328"/>
        </w:tabs>
        <w:spacing w:after="0" w:line="600" w:lineRule="exact"/>
        <w:ind w:firstLine="656" w:firstLineChars="200"/>
        <w:rPr>
          <w:rFonts w:ascii="仿宋_GB2312" w:hAnsi="仿宋_GB2312" w:eastAsia="仿宋_GB2312" w:cs="仿宋_GB2312"/>
          <w:sz w:val="32"/>
          <w:szCs w:val="32"/>
          <w:u w:val="none"/>
        </w:rPr>
      </w:pPr>
      <w:r>
        <w:rPr>
          <w:rFonts w:hint="eastAsia" w:ascii="仿宋" w:hAnsi="仿宋" w:eastAsia="仿宋" w:cs="仿宋"/>
          <w:spacing w:val="9"/>
          <w:sz w:val="31"/>
          <w:szCs w:val="31"/>
          <w:u w:val="none"/>
          <w:lang w:eastAsia="zh-CN"/>
        </w:rPr>
        <w:t>包头市商务局部门</w:t>
      </w:r>
      <w:r>
        <w:rPr>
          <w:rFonts w:hint="eastAsia" w:eastAsia="仿宋_GB2312"/>
          <w:sz w:val="32"/>
          <w:szCs w:val="32"/>
          <w:u w:val="none"/>
          <w:lang w:val="en-US" w:eastAsia="zh-CN"/>
        </w:rPr>
        <w:t>2026</w:t>
      </w:r>
      <w:r>
        <w:rPr>
          <w:rFonts w:hint="eastAsia" w:ascii="仿宋_GB2312" w:hAnsi="仿宋_GB2312" w:eastAsia="仿宋_GB2312" w:cs="仿宋_GB2312"/>
          <w:sz w:val="32"/>
          <w:szCs w:val="32"/>
          <w:u w:val="none"/>
        </w:rPr>
        <w:t>年度收入、支出预算总计</w:t>
      </w:r>
      <w:r>
        <w:rPr>
          <w:rFonts w:hint="eastAsia" w:ascii="仿宋_GB2312" w:hAnsi="仿宋_GB2312" w:eastAsia="仿宋_GB2312" w:cs="仿宋_GB2312"/>
          <w:sz w:val="32"/>
          <w:szCs w:val="32"/>
          <w:u w:val="none"/>
          <w:lang w:val="en-US" w:eastAsia="zh-CN"/>
        </w:rPr>
        <w:t>1402.68</w:t>
      </w:r>
      <w:r>
        <w:rPr>
          <w:rFonts w:hint="eastAsia" w:ascii="仿宋_GB2312" w:hAnsi="仿宋_GB2312" w:eastAsia="仿宋_GB2312" w:cs="仿宋_GB2312"/>
          <w:sz w:val="32"/>
          <w:szCs w:val="32"/>
          <w:u w:val="none"/>
        </w:rPr>
        <w:t>万元，与上年相比收、支预算总计各</w:t>
      </w:r>
      <w:r>
        <w:rPr>
          <w:rFonts w:hint="eastAsia" w:ascii="仿宋_GB2312" w:hAnsi="仿宋_GB2312" w:eastAsia="仿宋_GB2312" w:cs="仿宋_GB2312"/>
          <w:sz w:val="32"/>
          <w:szCs w:val="32"/>
          <w:u w:val="none"/>
          <w:lang w:eastAsia="zh-CN"/>
        </w:rPr>
        <w:t>增加</w:t>
      </w:r>
      <w:r>
        <w:rPr>
          <w:rFonts w:hint="eastAsia" w:ascii="仿宋_GB2312" w:hAnsi="仿宋_GB2312" w:eastAsia="仿宋_GB2312" w:cs="仿宋_GB2312"/>
          <w:sz w:val="32"/>
          <w:szCs w:val="32"/>
          <w:u w:val="none"/>
          <w:lang w:val="en-US" w:eastAsia="zh-CN"/>
        </w:rPr>
        <w:t>126.88</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lang w:eastAsia="zh-CN"/>
        </w:rPr>
        <w:t>增加</w:t>
      </w:r>
      <w:r>
        <w:rPr>
          <w:rFonts w:hint="eastAsia" w:ascii="仿宋_GB2312" w:hAnsi="仿宋_GB2312" w:eastAsia="仿宋_GB2312" w:cs="仿宋_GB2312"/>
          <w:sz w:val="32"/>
          <w:szCs w:val="32"/>
          <w:u w:val="none"/>
          <w:lang w:val="en-US" w:eastAsia="zh-CN"/>
        </w:rPr>
        <w:t>9.95</w:t>
      </w:r>
      <w:r>
        <w:rPr>
          <w:rFonts w:hint="eastAsia" w:ascii="仿宋_GB2312" w:hAnsi="仿宋_GB2312" w:eastAsia="仿宋_GB2312" w:cs="仿宋_GB2312"/>
          <w:sz w:val="32"/>
          <w:szCs w:val="32"/>
          <w:u w:val="none"/>
        </w:rPr>
        <w:t>%。其中：</w:t>
      </w:r>
    </w:p>
    <w:p w14:paraId="1C0734E5">
      <w:pPr>
        <w:pStyle w:val="8"/>
        <w:tabs>
          <w:tab w:val="left" w:pos="4275"/>
        </w:tabs>
        <w:spacing w:after="0" w:line="600" w:lineRule="exact"/>
        <w:ind w:firstLine="643" w:firstLineChars="200"/>
        <w:rPr>
          <w:rFonts w:ascii="楷体" w:hAnsi="楷体" w:eastAsia="楷体" w:cs="楷体"/>
          <w:b/>
          <w:bCs/>
          <w:sz w:val="32"/>
          <w:szCs w:val="32"/>
          <w:highlight w:val="none"/>
          <w:u w:val="none"/>
        </w:rPr>
      </w:pPr>
      <w:r>
        <w:rPr>
          <w:rFonts w:hint="eastAsia" w:ascii="楷体" w:hAnsi="楷体" w:eastAsia="楷体" w:cs="楷体"/>
          <w:b/>
          <w:bCs/>
          <w:sz w:val="32"/>
          <w:szCs w:val="32"/>
          <w:u w:val="none"/>
        </w:rPr>
        <w:t>（一）</w:t>
      </w:r>
      <w:r>
        <w:rPr>
          <w:rFonts w:hint="eastAsia" w:ascii="楷体" w:hAnsi="楷体" w:eastAsia="楷体" w:cs="楷体"/>
          <w:b/>
          <w:bCs/>
          <w:sz w:val="32"/>
          <w:szCs w:val="32"/>
          <w:highlight w:val="none"/>
          <w:u w:val="none"/>
        </w:rPr>
        <w:t>收入预算总计</w:t>
      </w:r>
      <w:r>
        <w:rPr>
          <w:rFonts w:hint="eastAsia" w:ascii="仿宋_GB2312" w:hAnsi="仿宋_GB2312" w:eastAsia="仿宋_GB2312" w:cs="仿宋_GB2312"/>
          <w:sz w:val="32"/>
          <w:szCs w:val="32"/>
          <w:u w:val="none"/>
          <w:lang w:val="en-US" w:eastAsia="zh-CN"/>
        </w:rPr>
        <w:t>1402.68</w:t>
      </w:r>
      <w:r>
        <w:rPr>
          <w:rFonts w:hint="eastAsia" w:ascii="楷体" w:hAnsi="楷体" w:eastAsia="楷体" w:cs="楷体"/>
          <w:b/>
          <w:bCs/>
          <w:sz w:val="32"/>
          <w:szCs w:val="32"/>
          <w:highlight w:val="none"/>
          <w:u w:val="none"/>
        </w:rPr>
        <w:t>万元。包括：</w:t>
      </w:r>
    </w:p>
    <w:p w14:paraId="50D4DE79">
      <w:pPr>
        <w:pStyle w:val="8"/>
        <w:tabs>
          <w:tab w:val="left" w:pos="3792"/>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1．本年收入合计</w:t>
      </w:r>
      <w:r>
        <w:rPr>
          <w:rFonts w:hint="eastAsia" w:ascii="仿宋_GB2312" w:hAnsi="仿宋_GB2312" w:eastAsia="仿宋_GB2312" w:cs="仿宋_GB2312"/>
          <w:sz w:val="32"/>
          <w:szCs w:val="32"/>
          <w:u w:val="none"/>
          <w:lang w:val="en-US" w:eastAsia="zh-CN"/>
        </w:rPr>
        <w:t>1402.68</w:t>
      </w:r>
      <w:r>
        <w:rPr>
          <w:rFonts w:eastAsia="仿宋_GB2312"/>
          <w:sz w:val="32"/>
          <w:szCs w:val="32"/>
          <w:highlight w:val="none"/>
          <w:u w:val="none"/>
        </w:rPr>
        <w:t>万元。</w:t>
      </w:r>
    </w:p>
    <w:p w14:paraId="54EE8791">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eastAsia="仿宋_GB2312"/>
          <w:sz w:val="32"/>
          <w:szCs w:val="32"/>
          <w:u w:val="none"/>
        </w:rPr>
      </w:pPr>
      <w:r>
        <w:rPr>
          <w:rFonts w:eastAsia="仿宋_GB2312"/>
          <w:sz w:val="32"/>
          <w:szCs w:val="32"/>
          <w:u w:val="none"/>
        </w:rPr>
        <w:t>（1）一般公共预算拨款收入</w:t>
      </w:r>
      <w:r>
        <w:rPr>
          <w:rFonts w:hint="eastAsia" w:ascii="仿宋_GB2312" w:hAnsi="仿宋_GB2312" w:eastAsia="仿宋_GB2312" w:cs="仿宋_GB2312"/>
          <w:sz w:val="32"/>
          <w:szCs w:val="32"/>
          <w:u w:val="none"/>
          <w:lang w:val="en-US" w:eastAsia="zh-CN"/>
        </w:rPr>
        <w:t>1402.68</w:t>
      </w:r>
      <w:r>
        <w:rPr>
          <w:rFonts w:eastAsia="仿宋_GB2312"/>
          <w:sz w:val="32"/>
          <w:szCs w:val="32"/>
          <w:u w:val="none"/>
        </w:rPr>
        <w:t>万元，与上年相比</w:t>
      </w:r>
      <w:r>
        <w:rPr>
          <w:rFonts w:hint="eastAsia" w:ascii="仿宋_GB2312" w:hAnsi="仿宋_GB2312" w:eastAsia="仿宋_GB2312" w:cs="仿宋_GB2312"/>
          <w:sz w:val="32"/>
          <w:szCs w:val="32"/>
          <w:u w:val="none"/>
          <w:lang w:eastAsia="zh-CN"/>
        </w:rPr>
        <w:t>增加</w:t>
      </w:r>
      <w:r>
        <w:rPr>
          <w:rFonts w:hint="eastAsia" w:ascii="仿宋_GB2312" w:hAnsi="仿宋_GB2312" w:eastAsia="仿宋_GB2312" w:cs="仿宋_GB2312"/>
          <w:sz w:val="32"/>
          <w:szCs w:val="32"/>
          <w:u w:val="none"/>
          <w:lang w:val="en-US" w:eastAsia="zh-CN"/>
        </w:rPr>
        <w:t>126.88</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lang w:eastAsia="zh-CN"/>
        </w:rPr>
        <w:t>增加</w:t>
      </w:r>
      <w:r>
        <w:rPr>
          <w:rFonts w:hint="eastAsia" w:ascii="仿宋_GB2312" w:hAnsi="仿宋_GB2312" w:eastAsia="仿宋_GB2312" w:cs="仿宋_GB2312"/>
          <w:sz w:val="32"/>
          <w:szCs w:val="32"/>
          <w:u w:val="none"/>
          <w:lang w:val="en-US" w:eastAsia="zh-CN"/>
        </w:rPr>
        <w:t>9.95</w:t>
      </w:r>
      <w:r>
        <w:rPr>
          <w:rFonts w:hint="eastAsia" w:ascii="仿宋_GB2312" w:hAnsi="仿宋_GB2312" w:eastAsia="仿宋_GB2312" w:cs="仿宋_GB2312"/>
          <w:sz w:val="32"/>
          <w:szCs w:val="32"/>
          <w:u w:val="none"/>
        </w:rPr>
        <w:t>%</w:t>
      </w:r>
      <w:r>
        <w:rPr>
          <w:rFonts w:eastAsia="仿宋_GB2312"/>
          <w:sz w:val="32"/>
          <w:szCs w:val="32"/>
          <w:highlight w:val="none"/>
          <w:u w:val="none"/>
        </w:rPr>
        <w:t>。主要原因</w:t>
      </w:r>
      <w:r>
        <w:rPr>
          <w:rFonts w:hint="eastAsia" w:ascii="Times New Roman" w:hAnsi="Times New Roman" w:eastAsia="仿宋_GB2312" w:cs="Times New Roman"/>
          <w:kern w:val="2"/>
          <w:sz w:val="32"/>
          <w:szCs w:val="32"/>
          <w:highlight w:val="none"/>
          <w:u w:val="none"/>
          <w:lang w:val="en-US" w:eastAsia="zh-CN" w:bidi="ar-SA"/>
        </w:rPr>
        <w:t>一是</w:t>
      </w:r>
      <w:r>
        <w:rPr>
          <w:rFonts w:hint="eastAsia" w:eastAsia="仿宋_GB2312" w:cs="Times New Roman"/>
          <w:kern w:val="2"/>
          <w:sz w:val="32"/>
          <w:szCs w:val="32"/>
          <w:highlight w:val="none"/>
          <w:u w:val="none"/>
          <w:lang w:val="en-US" w:eastAsia="zh-CN" w:bidi="ar-SA"/>
        </w:rPr>
        <w:t>所属二级单位</w:t>
      </w:r>
      <w:r>
        <w:rPr>
          <w:rFonts w:hint="eastAsia" w:eastAsia="仿宋_GB2312" w:cs="Times New Roman"/>
          <w:sz w:val="32"/>
          <w:szCs w:val="32"/>
          <w:u w:val="none"/>
          <w:lang w:val="en-US" w:eastAsia="zh-CN"/>
        </w:rPr>
        <w:t>包头市口岸服务中心的“口岸通勤车服务”项目经费收入增加22.72万元、新增“开行中欧班列”经费收入100万元；二是包头市商务局本级调入石丽娜，</w:t>
      </w:r>
      <w:r>
        <w:rPr>
          <w:rFonts w:hint="eastAsia" w:eastAsia="仿宋_GB2312"/>
          <w:sz w:val="32"/>
          <w:szCs w:val="32"/>
          <w:u w:val="none"/>
          <w:lang w:val="en-US" w:eastAsia="zh-CN"/>
        </w:rPr>
        <w:t>在职人员职务职级晋升，人员经费及公用经费收入增加。</w:t>
      </w:r>
    </w:p>
    <w:p w14:paraId="648FDB36">
      <w:pPr>
        <w:pStyle w:val="8"/>
        <w:tabs>
          <w:tab w:val="left" w:pos="1389"/>
          <w:tab w:val="left" w:pos="4911"/>
          <w:tab w:val="left" w:pos="5991"/>
        </w:tabs>
        <w:spacing w:after="0" w:line="600" w:lineRule="exact"/>
        <w:ind w:firstLine="640" w:firstLineChars="200"/>
        <w:rPr>
          <w:rFonts w:eastAsia="仿宋_GB2312"/>
          <w:sz w:val="32"/>
          <w:szCs w:val="32"/>
          <w:u w:val="none"/>
        </w:rPr>
      </w:pPr>
      <w:r>
        <w:rPr>
          <w:rFonts w:eastAsia="仿宋_GB2312"/>
          <w:sz w:val="32"/>
          <w:szCs w:val="32"/>
          <w:u w:val="none"/>
        </w:rPr>
        <w:t>（2）政府性基金预算拨款收入</w:t>
      </w:r>
      <w:r>
        <w:rPr>
          <w:rFonts w:hint="eastAsia" w:eastAsia="仿宋_GB2312"/>
          <w:sz w:val="32"/>
          <w:szCs w:val="32"/>
          <w:u w:val="none"/>
          <w:lang w:val="en-US" w:eastAsia="zh-CN"/>
        </w:rPr>
        <w:t>0</w:t>
      </w:r>
      <w:r>
        <w:rPr>
          <w:rFonts w:eastAsia="仿宋_GB2312"/>
          <w:sz w:val="32"/>
          <w:szCs w:val="32"/>
          <w:u w:val="none"/>
        </w:rPr>
        <w:t xml:space="preserve">万元，与上年相比增加 </w:t>
      </w:r>
      <w:r>
        <w:rPr>
          <w:rFonts w:hint="eastAsia" w:eastAsia="仿宋_GB2312"/>
          <w:sz w:val="32"/>
          <w:szCs w:val="32"/>
          <w:u w:val="none"/>
          <w:lang w:val="en-US" w:eastAsia="zh-CN"/>
        </w:rPr>
        <w:t>0</w:t>
      </w:r>
      <w:r>
        <w:rPr>
          <w:rFonts w:eastAsia="仿宋_GB2312"/>
          <w:sz w:val="32"/>
          <w:szCs w:val="32"/>
          <w:u w:val="none"/>
        </w:rPr>
        <w:t>万元，增长</w:t>
      </w:r>
      <w:r>
        <w:rPr>
          <w:rFonts w:hint="eastAsia" w:eastAsia="仿宋_GB2312"/>
          <w:sz w:val="32"/>
          <w:szCs w:val="32"/>
          <w:u w:val="none"/>
          <w:lang w:val="en-US" w:eastAsia="zh-CN"/>
        </w:rPr>
        <w:t>0</w:t>
      </w:r>
      <w:r>
        <w:rPr>
          <w:rFonts w:eastAsia="仿宋_GB2312"/>
          <w:sz w:val="32"/>
          <w:szCs w:val="32"/>
          <w:u w:val="none"/>
        </w:rPr>
        <w:t>%。主要原因是</w:t>
      </w:r>
      <w:r>
        <w:rPr>
          <w:rFonts w:ascii="仿宋" w:hAnsi="仿宋" w:eastAsia="仿宋" w:cs="仿宋"/>
          <w:spacing w:val="6"/>
          <w:sz w:val="31"/>
          <w:szCs w:val="31"/>
          <w:u w:val="none"/>
        </w:rPr>
        <w:t>不存在此项内容</w:t>
      </w:r>
      <w:r>
        <w:rPr>
          <w:rFonts w:eastAsia="仿宋_GB2312"/>
          <w:sz w:val="32"/>
          <w:szCs w:val="32"/>
          <w:u w:val="none"/>
        </w:rPr>
        <w:t>。</w:t>
      </w:r>
    </w:p>
    <w:p w14:paraId="194E10BD">
      <w:pPr>
        <w:pStyle w:val="8"/>
        <w:tabs>
          <w:tab w:val="left" w:pos="1389"/>
          <w:tab w:val="left" w:pos="4911"/>
          <w:tab w:val="left" w:pos="6205"/>
        </w:tabs>
        <w:spacing w:after="0" w:line="600" w:lineRule="exact"/>
        <w:ind w:firstLine="640" w:firstLineChars="200"/>
        <w:rPr>
          <w:rFonts w:eastAsia="仿宋_GB2312"/>
          <w:sz w:val="32"/>
          <w:szCs w:val="32"/>
          <w:u w:val="none"/>
        </w:rPr>
      </w:pPr>
      <w:r>
        <w:rPr>
          <w:rFonts w:eastAsia="仿宋_GB2312"/>
          <w:sz w:val="32"/>
          <w:szCs w:val="32"/>
          <w:u w:val="none"/>
        </w:rPr>
        <w:t>（3）国有资本经营预算拨款收入</w:t>
      </w:r>
      <w:r>
        <w:rPr>
          <w:rFonts w:hint="eastAsia" w:eastAsia="仿宋_GB2312"/>
          <w:sz w:val="32"/>
          <w:szCs w:val="32"/>
          <w:u w:val="none"/>
          <w:lang w:val="en-US" w:eastAsia="zh-CN"/>
        </w:rPr>
        <w:t>0</w:t>
      </w:r>
      <w:r>
        <w:rPr>
          <w:rFonts w:eastAsia="仿宋_GB2312"/>
          <w:sz w:val="32"/>
          <w:szCs w:val="32"/>
          <w:u w:val="none"/>
        </w:rPr>
        <w:t>万元，与上年相比增加</w:t>
      </w:r>
      <w:r>
        <w:rPr>
          <w:rFonts w:hint="eastAsia" w:eastAsia="仿宋_GB2312"/>
          <w:sz w:val="32"/>
          <w:szCs w:val="32"/>
          <w:u w:val="none"/>
          <w:lang w:val="en-US" w:eastAsia="zh-CN"/>
        </w:rPr>
        <w:t>0</w:t>
      </w:r>
      <w:r>
        <w:rPr>
          <w:rFonts w:eastAsia="仿宋_GB2312"/>
          <w:sz w:val="32"/>
          <w:szCs w:val="32"/>
          <w:u w:val="none"/>
        </w:rPr>
        <w:t>万元，增长</w:t>
      </w:r>
      <w:r>
        <w:rPr>
          <w:rFonts w:hint="eastAsia" w:eastAsia="仿宋_GB2312"/>
          <w:sz w:val="32"/>
          <w:szCs w:val="32"/>
          <w:u w:val="none"/>
          <w:lang w:val="en-US" w:eastAsia="zh-CN"/>
        </w:rPr>
        <w:t>0</w:t>
      </w:r>
      <w:r>
        <w:rPr>
          <w:rFonts w:eastAsia="仿宋_GB2312"/>
          <w:sz w:val="32"/>
          <w:szCs w:val="32"/>
          <w:u w:val="none"/>
        </w:rPr>
        <w:t>%。主要原因是</w:t>
      </w:r>
      <w:r>
        <w:rPr>
          <w:rFonts w:ascii="仿宋" w:hAnsi="仿宋" w:eastAsia="仿宋" w:cs="仿宋"/>
          <w:spacing w:val="6"/>
          <w:sz w:val="31"/>
          <w:szCs w:val="31"/>
          <w:u w:val="none"/>
        </w:rPr>
        <w:t>不存在此项内容</w:t>
      </w:r>
      <w:r>
        <w:rPr>
          <w:rFonts w:eastAsia="仿宋_GB2312"/>
          <w:sz w:val="32"/>
          <w:szCs w:val="32"/>
          <w:u w:val="none"/>
        </w:rPr>
        <w:t>。</w:t>
      </w:r>
    </w:p>
    <w:p w14:paraId="470CAAF7">
      <w:pPr>
        <w:pStyle w:val="8"/>
        <w:tabs>
          <w:tab w:val="left" w:pos="1389"/>
          <w:tab w:val="left" w:pos="4911"/>
          <w:tab w:val="left" w:pos="5898"/>
        </w:tabs>
        <w:spacing w:after="0" w:line="600" w:lineRule="exact"/>
        <w:ind w:firstLine="640" w:firstLineChars="200"/>
        <w:rPr>
          <w:rFonts w:eastAsia="仿宋_GB2312"/>
          <w:sz w:val="32"/>
          <w:szCs w:val="32"/>
          <w:u w:val="none"/>
        </w:rPr>
      </w:pPr>
      <w:r>
        <w:rPr>
          <w:rFonts w:eastAsia="仿宋_GB2312"/>
          <w:sz w:val="32"/>
          <w:szCs w:val="32"/>
          <w:u w:val="none"/>
        </w:rPr>
        <w:t>（4）财政专户管理资金收入</w:t>
      </w:r>
      <w:r>
        <w:rPr>
          <w:rFonts w:hint="eastAsia" w:eastAsia="仿宋_GB2312"/>
          <w:sz w:val="32"/>
          <w:szCs w:val="32"/>
          <w:u w:val="none"/>
          <w:lang w:val="en-US" w:eastAsia="zh-CN"/>
        </w:rPr>
        <w:t>0</w:t>
      </w:r>
      <w:r>
        <w:rPr>
          <w:rFonts w:eastAsia="仿宋_GB2312"/>
          <w:sz w:val="32"/>
          <w:szCs w:val="32"/>
          <w:u w:val="none"/>
        </w:rPr>
        <w:t>万元，与上年相比增加</w:t>
      </w:r>
      <w:r>
        <w:rPr>
          <w:rFonts w:hint="eastAsia" w:eastAsia="仿宋_GB2312"/>
          <w:sz w:val="32"/>
          <w:szCs w:val="32"/>
          <w:u w:val="none"/>
          <w:lang w:val="en-US" w:eastAsia="zh-CN"/>
        </w:rPr>
        <w:t>0</w:t>
      </w:r>
      <w:r>
        <w:rPr>
          <w:rFonts w:eastAsia="仿宋_GB2312"/>
          <w:sz w:val="32"/>
          <w:szCs w:val="32"/>
          <w:u w:val="none"/>
        </w:rPr>
        <w:t>万元，增长</w:t>
      </w:r>
      <w:r>
        <w:rPr>
          <w:rFonts w:hint="eastAsia" w:eastAsia="仿宋_GB2312"/>
          <w:sz w:val="32"/>
          <w:szCs w:val="32"/>
          <w:u w:val="none"/>
          <w:lang w:val="en-US" w:eastAsia="zh-CN"/>
        </w:rPr>
        <w:t>0</w:t>
      </w:r>
      <w:r>
        <w:rPr>
          <w:rFonts w:eastAsia="仿宋_GB2312"/>
          <w:sz w:val="32"/>
          <w:szCs w:val="32"/>
          <w:u w:val="none"/>
        </w:rPr>
        <w:t>%。主要原因是</w:t>
      </w:r>
      <w:r>
        <w:rPr>
          <w:rFonts w:ascii="仿宋" w:hAnsi="仿宋" w:eastAsia="仿宋" w:cs="仿宋"/>
          <w:spacing w:val="6"/>
          <w:sz w:val="31"/>
          <w:szCs w:val="31"/>
          <w:u w:val="none"/>
        </w:rPr>
        <w:t>不存在此项内容</w:t>
      </w:r>
      <w:r>
        <w:rPr>
          <w:rFonts w:eastAsia="仿宋_GB2312"/>
          <w:sz w:val="32"/>
          <w:szCs w:val="32"/>
          <w:u w:val="none"/>
        </w:rPr>
        <w:t>。</w:t>
      </w:r>
    </w:p>
    <w:p w14:paraId="4B521130">
      <w:pPr>
        <w:pStyle w:val="8"/>
        <w:tabs>
          <w:tab w:val="left" w:pos="3310"/>
          <w:tab w:val="left" w:pos="3807"/>
          <w:tab w:val="left" w:pos="9433"/>
        </w:tabs>
        <w:spacing w:after="0" w:line="600" w:lineRule="exact"/>
        <w:ind w:firstLine="640" w:firstLineChars="200"/>
        <w:rPr>
          <w:rFonts w:eastAsia="仿宋_GB2312"/>
          <w:sz w:val="32"/>
          <w:szCs w:val="32"/>
          <w:u w:val="none"/>
        </w:rPr>
      </w:pPr>
      <w:r>
        <w:rPr>
          <w:rFonts w:eastAsia="仿宋_GB2312"/>
          <w:sz w:val="32"/>
          <w:szCs w:val="32"/>
          <w:u w:val="none"/>
        </w:rPr>
        <w:t>（5）事业收入</w:t>
      </w:r>
      <w:r>
        <w:rPr>
          <w:rFonts w:hint="eastAsia" w:eastAsia="仿宋_GB2312"/>
          <w:sz w:val="32"/>
          <w:szCs w:val="32"/>
          <w:u w:val="none"/>
          <w:lang w:val="en-US" w:eastAsia="zh-CN"/>
        </w:rPr>
        <w:t>0</w:t>
      </w:r>
      <w:r>
        <w:rPr>
          <w:rFonts w:eastAsia="仿宋_GB2312"/>
          <w:sz w:val="32"/>
          <w:szCs w:val="32"/>
          <w:u w:val="none"/>
        </w:rPr>
        <w:t>万元，与上年相比增加</w:t>
      </w:r>
      <w:r>
        <w:rPr>
          <w:rFonts w:hint="eastAsia" w:eastAsia="仿宋_GB2312"/>
          <w:sz w:val="32"/>
          <w:szCs w:val="32"/>
          <w:u w:val="none"/>
          <w:lang w:val="en-US" w:eastAsia="zh-CN"/>
        </w:rPr>
        <w:t>0</w:t>
      </w:r>
      <w:r>
        <w:rPr>
          <w:rFonts w:eastAsia="仿宋_GB2312"/>
          <w:sz w:val="32"/>
          <w:szCs w:val="32"/>
          <w:u w:val="none"/>
        </w:rPr>
        <w:t>万元，增长</w:t>
      </w:r>
      <w:r>
        <w:rPr>
          <w:rFonts w:hint="eastAsia" w:eastAsia="仿宋_GB2312"/>
          <w:sz w:val="32"/>
          <w:szCs w:val="32"/>
          <w:u w:val="none"/>
          <w:lang w:val="en-US" w:eastAsia="zh-CN"/>
        </w:rPr>
        <w:t>0</w:t>
      </w:r>
      <w:r>
        <w:rPr>
          <w:rFonts w:eastAsia="仿宋_GB2312"/>
          <w:sz w:val="32"/>
          <w:szCs w:val="32"/>
          <w:u w:val="none"/>
        </w:rPr>
        <w:t>%。主要原因是</w:t>
      </w:r>
      <w:r>
        <w:rPr>
          <w:rFonts w:ascii="仿宋" w:hAnsi="仿宋" w:eastAsia="仿宋" w:cs="仿宋"/>
          <w:spacing w:val="6"/>
          <w:sz w:val="31"/>
          <w:szCs w:val="31"/>
          <w:u w:val="none"/>
        </w:rPr>
        <w:t>不存在此项内容</w:t>
      </w:r>
      <w:r>
        <w:rPr>
          <w:rFonts w:eastAsia="仿宋_GB2312"/>
          <w:sz w:val="32"/>
          <w:szCs w:val="32"/>
          <w:u w:val="none"/>
        </w:rPr>
        <w:t>。</w:t>
      </w:r>
    </w:p>
    <w:p w14:paraId="63CDE18C">
      <w:pPr>
        <w:pStyle w:val="8"/>
        <w:tabs>
          <w:tab w:val="left" w:pos="1389"/>
          <w:tab w:val="left" w:pos="4911"/>
          <w:tab w:val="left" w:pos="5900"/>
        </w:tabs>
        <w:spacing w:after="0" w:line="600" w:lineRule="exact"/>
        <w:ind w:firstLine="640" w:firstLineChars="200"/>
        <w:rPr>
          <w:rFonts w:eastAsia="仿宋_GB2312"/>
          <w:sz w:val="32"/>
          <w:szCs w:val="32"/>
          <w:u w:val="none"/>
        </w:rPr>
      </w:pPr>
      <w:r>
        <w:rPr>
          <w:rFonts w:eastAsia="仿宋_GB2312"/>
          <w:sz w:val="32"/>
          <w:szCs w:val="32"/>
          <w:u w:val="none"/>
        </w:rPr>
        <w:t>（6）事业单位经营收入</w:t>
      </w:r>
      <w:r>
        <w:rPr>
          <w:rFonts w:hint="eastAsia" w:eastAsia="仿宋_GB2312"/>
          <w:sz w:val="32"/>
          <w:szCs w:val="32"/>
          <w:u w:val="none"/>
          <w:lang w:val="en-US" w:eastAsia="zh-CN"/>
        </w:rPr>
        <w:t>0</w:t>
      </w:r>
      <w:r>
        <w:rPr>
          <w:rFonts w:eastAsia="仿宋_GB2312"/>
          <w:sz w:val="32"/>
          <w:szCs w:val="32"/>
          <w:u w:val="none"/>
        </w:rPr>
        <w:t>万元，与上年相比增加</w:t>
      </w:r>
      <w:r>
        <w:rPr>
          <w:rFonts w:hint="eastAsia" w:eastAsia="仿宋_GB2312"/>
          <w:sz w:val="32"/>
          <w:szCs w:val="32"/>
          <w:u w:val="none"/>
          <w:lang w:val="en-US" w:eastAsia="zh-CN"/>
        </w:rPr>
        <w:t>0</w:t>
      </w:r>
      <w:r>
        <w:rPr>
          <w:rFonts w:eastAsia="仿宋_GB2312"/>
          <w:sz w:val="32"/>
          <w:szCs w:val="32"/>
          <w:u w:val="none"/>
        </w:rPr>
        <w:t>万元，增长</w:t>
      </w:r>
      <w:r>
        <w:rPr>
          <w:rFonts w:hint="eastAsia" w:eastAsia="仿宋_GB2312"/>
          <w:sz w:val="32"/>
          <w:szCs w:val="32"/>
          <w:u w:val="none"/>
          <w:lang w:val="en-US" w:eastAsia="zh-CN"/>
        </w:rPr>
        <w:t>0</w:t>
      </w:r>
      <w:r>
        <w:rPr>
          <w:rFonts w:eastAsia="仿宋_GB2312"/>
          <w:sz w:val="32"/>
          <w:szCs w:val="32"/>
          <w:u w:val="none"/>
        </w:rPr>
        <w:t xml:space="preserve"> %。主要原因是</w:t>
      </w:r>
      <w:r>
        <w:rPr>
          <w:rFonts w:ascii="仿宋" w:hAnsi="仿宋" w:eastAsia="仿宋" w:cs="仿宋"/>
          <w:spacing w:val="6"/>
          <w:sz w:val="31"/>
          <w:szCs w:val="31"/>
          <w:u w:val="none"/>
        </w:rPr>
        <w:t>不存在此项内容</w:t>
      </w:r>
      <w:r>
        <w:rPr>
          <w:rFonts w:eastAsia="仿宋_GB2312"/>
          <w:sz w:val="32"/>
          <w:szCs w:val="32"/>
          <w:u w:val="none"/>
        </w:rPr>
        <w:t>。</w:t>
      </w:r>
    </w:p>
    <w:p w14:paraId="4EC48924">
      <w:pPr>
        <w:pStyle w:val="8"/>
        <w:tabs>
          <w:tab w:val="left" w:pos="4320"/>
          <w:tab w:val="left" w:pos="9433"/>
        </w:tabs>
        <w:spacing w:after="0" w:line="600" w:lineRule="exact"/>
        <w:ind w:firstLine="640" w:firstLineChars="200"/>
        <w:rPr>
          <w:rFonts w:eastAsia="仿宋_GB2312"/>
          <w:sz w:val="32"/>
          <w:szCs w:val="32"/>
          <w:u w:val="none"/>
        </w:rPr>
      </w:pPr>
      <w:r>
        <w:rPr>
          <w:rFonts w:eastAsia="仿宋_GB2312"/>
          <w:sz w:val="32"/>
          <w:szCs w:val="32"/>
          <w:u w:val="none"/>
        </w:rPr>
        <w:t>（7）上级补助收入</w:t>
      </w:r>
      <w:r>
        <w:rPr>
          <w:rFonts w:hint="eastAsia" w:eastAsia="仿宋_GB2312"/>
          <w:sz w:val="32"/>
          <w:szCs w:val="32"/>
          <w:u w:val="none"/>
          <w:lang w:val="en-US" w:eastAsia="zh-CN"/>
        </w:rPr>
        <w:t>0</w:t>
      </w:r>
      <w:r>
        <w:rPr>
          <w:rFonts w:eastAsia="仿宋_GB2312"/>
          <w:sz w:val="32"/>
          <w:szCs w:val="32"/>
          <w:u w:val="none"/>
        </w:rPr>
        <w:t>万元，与上年相比增加</w:t>
      </w:r>
      <w:r>
        <w:rPr>
          <w:rFonts w:hint="eastAsia" w:eastAsia="仿宋_GB2312"/>
          <w:sz w:val="32"/>
          <w:szCs w:val="32"/>
          <w:u w:val="none"/>
          <w:lang w:val="en-US" w:eastAsia="zh-CN"/>
        </w:rPr>
        <w:t>0</w:t>
      </w:r>
      <w:r>
        <w:rPr>
          <w:rFonts w:eastAsia="仿宋_GB2312"/>
          <w:sz w:val="32"/>
          <w:szCs w:val="32"/>
          <w:u w:val="none"/>
        </w:rPr>
        <w:t>万元，增长</w:t>
      </w:r>
      <w:r>
        <w:rPr>
          <w:rFonts w:hint="eastAsia" w:eastAsia="仿宋_GB2312"/>
          <w:sz w:val="32"/>
          <w:szCs w:val="32"/>
          <w:u w:val="none"/>
          <w:lang w:val="en-US" w:eastAsia="zh-CN"/>
        </w:rPr>
        <w:t>0</w:t>
      </w:r>
      <w:r>
        <w:rPr>
          <w:rFonts w:eastAsia="仿宋_GB2312"/>
          <w:sz w:val="32"/>
          <w:szCs w:val="32"/>
          <w:u w:val="none"/>
        </w:rPr>
        <w:t>%。主要原因是</w:t>
      </w:r>
      <w:r>
        <w:rPr>
          <w:rFonts w:ascii="仿宋" w:hAnsi="仿宋" w:eastAsia="仿宋" w:cs="仿宋"/>
          <w:spacing w:val="6"/>
          <w:sz w:val="31"/>
          <w:szCs w:val="31"/>
          <w:u w:val="none"/>
        </w:rPr>
        <w:t>不存在此项内容</w:t>
      </w:r>
      <w:r>
        <w:rPr>
          <w:rFonts w:eastAsia="仿宋_GB2312"/>
          <w:sz w:val="32"/>
          <w:szCs w:val="32"/>
          <w:u w:val="none"/>
        </w:rPr>
        <w:t>。</w:t>
      </w:r>
    </w:p>
    <w:p w14:paraId="03C443CD">
      <w:pPr>
        <w:pStyle w:val="8"/>
        <w:tabs>
          <w:tab w:val="left" w:pos="1389"/>
          <w:tab w:val="left" w:pos="4911"/>
          <w:tab w:val="left" w:pos="5900"/>
        </w:tabs>
        <w:spacing w:after="0" w:line="600" w:lineRule="exact"/>
        <w:ind w:firstLine="640" w:firstLineChars="200"/>
        <w:rPr>
          <w:rFonts w:eastAsia="仿宋_GB2312"/>
          <w:sz w:val="32"/>
          <w:szCs w:val="32"/>
          <w:u w:val="none"/>
        </w:rPr>
      </w:pPr>
      <w:r>
        <w:rPr>
          <w:rFonts w:eastAsia="仿宋_GB2312"/>
          <w:sz w:val="32"/>
          <w:szCs w:val="32"/>
          <w:u w:val="none"/>
        </w:rPr>
        <w:t>（8）附属单位上缴收入</w:t>
      </w:r>
      <w:r>
        <w:rPr>
          <w:rFonts w:hint="eastAsia" w:eastAsia="仿宋_GB2312"/>
          <w:sz w:val="32"/>
          <w:szCs w:val="32"/>
          <w:u w:val="none"/>
          <w:lang w:val="en-US" w:eastAsia="zh-CN"/>
        </w:rPr>
        <w:t>0</w:t>
      </w:r>
      <w:r>
        <w:rPr>
          <w:rFonts w:eastAsia="仿宋_GB2312"/>
          <w:sz w:val="32"/>
          <w:szCs w:val="32"/>
          <w:u w:val="none"/>
        </w:rPr>
        <w:t>万元，与上年相比增加</w:t>
      </w:r>
      <w:r>
        <w:rPr>
          <w:rFonts w:hint="eastAsia" w:eastAsia="仿宋_GB2312"/>
          <w:sz w:val="32"/>
          <w:szCs w:val="32"/>
          <w:u w:val="none"/>
          <w:lang w:val="en-US" w:eastAsia="zh-CN"/>
        </w:rPr>
        <w:t>0</w:t>
      </w:r>
      <w:r>
        <w:rPr>
          <w:rFonts w:eastAsia="仿宋_GB2312"/>
          <w:sz w:val="32"/>
          <w:szCs w:val="32"/>
          <w:u w:val="none"/>
        </w:rPr>
        <w:t>万元，增长</w:t>
      </w:r>
      <w:r>
        <w:rPr>
          <w:rFonts w:hint="eastAsia" w:eastAsia="仿宋_GB2312"/>
          <w:sz w:val="32"/>
          <w:szCs w:val="32"/>
          <w:u w:val="none"/>
          <w:lang w:val="en-US" w:eastAsia="zh-CN"/>
        </w:rPr>
        <w:t>0</w:t>
      </w:r>
      <w:r>
        <w:rPr>
          <w:rFonts w:eastAsia="仿宋_GB2312"/>
          <w:sz w:val="32"/>
          <w:szCs w:val="32"/>
          <w:u w:val="none"/>
        </w:rPr>
        <w:t>%。主要原因是</w:t>
      </w:r>
      <w:r>
        <w:rPr>
          <w:rFonts w:ascii="仿宋" w:hAnsi="仿宋" w:eastAsia="仿宋" w:cs="仿宋"/>
          <w:spacing w:val="6"/>
          <w:sz w:val="31"/>
          <w:szCs w:val="31"/>
          <w:u w:val="none"/>
        </w:rPr>
        <w:t>不存在此项内容</w:t>
      </w:r>
      <w:r>
        <w:rPr>
          <w:rFonts w:eastAsia="仿宋_GB2312"/>
          <w:sz w:val="32"/>
          <w:szCs w:val="32"/>
          <w:u w:val="none"/>
        </w:rPr>
        <w:t>。</w:t>
      </w:r>
    </w:p>
    <w:p w14:paraId="5097F9EB">
      <w:pPr>
        <w:pStyle w:val="8"/>
        <w:tabs>
          <w:tab w:val="left" w:pos="3310"/>
          <w:tab w:val="left" w:pos="4121"/>
          <w:tab w:val="left" w:pos="9431"/>
        </w:tabs>
        <w:spacing w:after="0" w:line="600" w:lineRule="exact"/>
        <w:ind w:firstLine="640" w:firstLineChars="200"/>
        <w:rPr>
          <w:rFonts w:eastAsia="仿宋_GB2312"/>
          <w:sz w:val="32"/>
          <w:szCs w:val="32"/>
          <w:u w:val="none"/>
        </w:rPr>
      </w:pPr>
      <w:r>
        <w:rPr>
          <w:rFonts w:eastAsia="仿宋_GB2312"/>
          <w:sz w:val="32"/>
          <w:szCs w:val="32"/>
          <w:u w:val="none"/>
        </w:rPr>
        <w:t>（9）其他收入</w:t>
      </w:r>
      <w:r>
        <w:rPr>
          <w:rFonts w:hint="eastAsia" w:eastAsia="仿宋_GB2312"/>
          <w:sz w:val="32"/>
          <w:szCs w:val="32"/>
          <w:u w:val="none"/>
          <w:lang w:val="en-US" w:eastAsia="zh-CN"/>
        </w:rPr>
        <w:t>0</w:t>
      </w:r>
      <w:r>
        <w:rPr>
          <w:rFonts w:eastAsia="仿宋_GB2312"/>
          <w:sz w:val="32"/>
          <w:szCs w:val="32"/>
          <w:u w:val="none"/>
        </w:rPr>
        <w:t>万元，与上年相比增加</w:t>
      </w:r>
      <w:r>
        <w:rPr>
          <w:rFonts w:hint="eastAsia" w:eastAsia="仿宋_GB2312"/>
          <w:sz w:val="32"/>
          <w:szCs w:val="32"/>
          <w:u w:val="none"/>
          <w:lang w:val="en-US" w:eastAsia="zh-CN"/>
        </w:rPr>
        <w:t>0</w:t>
      </w:r>
      <w:r>
        <w:rPr>
          <w:rFonts w:eastAsia="仿宋_GB2312"/>
          <w:sz w:val="32"/>
          <w:szCs w:val="32"/>
          <w:u w:val="none"/>
        </w:rPr>
        <w:t>万元，增长</w:t>
      </w:r>
      <w:r>
        <w:rPr>
          <w:rFonts w:hint="eastAsia" w:eastAsia="仿宋_GB2312"/>
          <w:sz w:val="32"/>
          <w:szCs w:val="32"/>
          <w:u w:val="none"/>
          <w:lang w:val="en-US" w:eastAsia="zh-CN"/>
        </w:rPr>
        <w:t>0</w:t>
      </w:r>
      <w:r>
        <w:rPr>
          <w:rFonts w:eastAsia="仿宋_GB2312"/>
          <w:sz w:val="32"/>
          <w:szCs w:val="32"/>
          <w:u w:val="none"/>
        </w:rPr>
        <w:t>%。主要原因是</w:t>
      </w:r>
      <w:r>
        <w:rPr>
          <w:rFonts w:ascii="仿宋" w:hAnsi="仿宋" w:eastAsia="仿宋" w:cs="仿宋"/>
          <w:spacing w:val="6"/>
          <w:sz w:val="31"/>
          <w:szCs w:val="31"/>
          <w:u w:val="none"/>
        </w:rPr>
        <w:t>不存在此项内容</w:t>
      </w:r>
      <w:r>
        <w:rPr>
          <w:rFonts w:eastAsia="仿宋_GB2312"/>
          <w:sz w:val="32"/>
          <w:szCs w:val="32"/>
          <w:u w:val="none"/>
        </w:rPr>
        <w:t>。</w:t>
      </w:r>
    </w:p>
    <w:p w14:paraId="3BFF27B5">
      <w:pPr>
        <w:pStyle w:val="8"/>
        <w:tabs>
          <w:tab w:val="left" w:pos="3310"/>
          <w:tab w:val="left" w:pos="4280"/>
          <w:tab w:val="left" w:pos="9431"/>
        </w:tabs>
        <w:spacing w:after="0" w:line="600" w:lineRule="exact"/>
        <w:ind w:firstLine="640" w:firstLineChars="200"/>
        <w:rPr>
          <w:rFonts w:eastAsia="仿宋_GB2312"/>
          <w:sz w:val="32"/>
          <w:szCs w:val="32"/>
          <w:u w:val="none"/>
        </w:rPr>
      </w:pPr>
      <w:r>
        <w:rPr>
          <w:rFonts w:eastAsia="仿宋_GB2312"/>
          <w:sz w:val="32"/>
          <w:szCs w:val="32"/>
          <w:u w:val="none"/>
        </w:rPr>
        <w:t>2．上年结转结余为</w:t>
      </w:r>
      <w:r>
        <w:rPr>
          <w:rFonts w:hint="eastAsia" w:eastAsia="仿宋_GB2312"/>
          <w:sz w:val="32"/>
          <w:szCs w:val="32"/>
          <w:u w:val="none"/>
          <w:lang w:val="en-US" w:eastAsia="zh-CN"/>
        </w:rPr>
        <w:t>0</w:t>
      </w:r>
      <w:r>
        <w:rPr>
          <w:rFonts w:eastAsia="仿宋_GB2312"/>
          <w:sz w:val="32"/>
          <w:szCs w:val="32"/>
          <w:u w:val="none"/>
        </w:rPr>
        <w:t>万元。与上年相比</w:t>
      </w:r>
      <w:r>
        <w:rPr>
          <w:rFonts w:hint="eastAsia" w:eastAsia="仿宋_GB2312"/>
          <w:sz w:val="32"/>
          <w:szCs w:val="32"/>
          <w:u w:val="none"/>
          <w:lang w:eastAsia="zh-CN"/>
        </w:rPr>
        <w:t>增加</w:t>
      </w:r>
      <w:r>
        <w:rPr>
          <w:rFonts w:hint="eastAsia" w:eastAsia="仿宋_GB2312"/>
          <w:sz w:val="32"/>
          <w:szCs w:val="32"/>
          <w:u w:val="none"/>
          <w:lang w:val="en-US" w:eastAsia="zh-CN"/>
        </w:rPr>
        <w:t>0</w:t>
      </w:r>
      <w:r>
        <w:rPr>
          <w:rFonts w:eastAsia="仿宋_GB2312"/>
          <w:sz w:val="32"/>
          <w:szCs w:val="32"/>
          <w:u w:val="none"/>
        </w:rPr>
        <w:t>万元，</w:t>
      </w:r>
      <w:r>
        <w:rPr>
          <w:rFonts w:hint="eastAsia" w:eastAsia="仿宋_GB2312"/>
          <w:sz w:val="32"/>
          <w:szCs w:val="32"/>
          <w:u w:val="none"/>
          <w:lang w:eastAsia="zh-CN"/>
        </w:rPr>
        <w:t>增加</w:t>
      </w:r>
      <w:r>
        <w:rPr>
          <w:rFonts w:hint="eastAsia" w:eastAsia="仿宋_GB2312"/>
          <w:sz w:val="32"/>
          <w:szCs w:val="32"/>
          <w:u w:val="none"/>
          <w:lang w:val="en-US" w:eastAsia="zh-CN"/>
        </w:rPr>
        <w:t>0.00</w:t>
      </w:r>
      <w:r>
        <w:rPr>
          <w:rFonts w:eastAsia="仿宋_GB2312"/>
          <w:sz w:val="32"/>
          <w:szCs w:val="32"/>
          <w:u w:val="none"/>
        </w:rPr>
        <w:t>%。主要原因</w:t>
      </w:r>
      <w:r>
        <w:rPr>
          <w:rFonts w:hint="eastAsia" w:eastAsia="仿宋_GB2312"/>
          <w:sz w:val="32"/>
          <w:szCs w:val="32"/>
          <w:u w:val="none"/>
          <w:lang w:eastAsia="zh-CN"/>
        </w:rPr>
        <w:t>是上年无结转结余</w:t>
      </w:r>
      <w:r>
        <w:rPr>
          <w:rFonts w:eastAsia="仿宋_GB2312"/>
          <w:sz w:val="32"/>
          <w:szCs w:val="32"/>
          <w:u w:val="none"/>
        </w:rPr>
        <w:t>。</w:t>
      </w:r>
    </w:p>
    <w:p w14:paraId="710050B2">
      <w:pPr>
        <w:pStyle w:val="8"/>
        <w:tabs>
          <w:tab w:val="left" w:pos="4275"/>
        </w:tabs>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（二）支出预算总计</w:t>
      </w:r>
      <w:r>
        <w:rPr>
          <w:rFonts w:hint="eastAsia" w:ascii="仿宋_GB2312" w:hAnsi="仿宋_GB2312" w:eastAsia="仿宋_GB2312" w:cs="仿宋_GB2312"/>
          <w:sz w:val="32"/>
          <w:szCs w:val="32"/>
          <w:u w:val="none"/>
          <w:lang w:val="en-US" w:eastAsia="zh-CN"/>
        </w:rPr>
        <w:t>1402.68</w:t>
      </w:r>
      <w:r>
        <w:rPr>
          <w:rFonts w:hint="eastAsia" w:ascii="楷体" w:hAnsi="楷体" w:eastAsia="楷体" w:cs="楷体"/>
          <w:b/>
          <w:bCs/>
          <w:sz w:val="32"/>
          <w:szCs w:val="32"/>
          <w:u w:val="none"/>
        </w:rPr>
        <w:t>万元。包括：</w:t>
      </w:r>
    </w:p>
    <w:p w14:paraId="0A8AC195">
      <w:pPr>
        <w:pStyle w:val="8"/>
        <w:tabs>
          <w:tab w:val="left" w:pos="3792"/>
        </w:tabs>
        <w:spacing w:after="0" w:line="600" w:lineRule="exact"/>
        <w:ind w:firstLine="640" w:firstLineChars="200"/>
        <w:rPr>
          <w:rFonts w:eastAsia="仿宋_GB2312"/>
          <w:sz w:val="32"/>
          <w:szCs w:val="32"/>
          <w:u w:val="none"/>
        </w:rPr>
      </w:pPr>
      <w:r>
        <w:rPr>
          <w:rFonts w:eastAsia="仿宋_GB2312"/>
          <w:sz w:val="32"/>
          <w:szCs w:val="32"/>
          <w:u w:val="none"/>
        </w:rPr>
        <w:t>1．本年支出合计</w:t>
      </w:r>
      <w:r>
        <w:rPr>
          <w:rFonts w:hint="eastAsia" w:ascii="仿宋_GB2312" w:hAnsi="仿宋_GB2312" w:eastAsia="仿宋_GB2312" w:cs="仿宋_GB2312"/>
          <w:sz w:val="32"/>
          <w:szCs w:val="32"/>
          <w:u w:val="none"/>
          <w:lang w:val="en-US" w:eastAsia="zh-CN"/>
        </w:rPr>
        <w:t>1402.68</w:t>
      </w:r>
      <w:r>
        <w:rPr>
          <w:rFonts w:eastAsia="仿宋_GB2312"/>
          <w:sz w:val="32"/>
          <w:szCs w:val="32"/>
          <w:u w:val="none"/>
        </w:rPr>
        <w:t>万元。</w:t>
      </w:r>
    </w:p>
    <w:p w14:paraId="514B0566">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eastAsia="仿宋_GB2312"/>
          <w:sz w:val="32"/>
          <w:szCs w:val="32"/>
          <w:u w:val="none"/>
        </w:rPr>
      </w:pPr>
      <w:r>
        <w:rPr>
          <w:rFonts w:ascii="Times New Roman" w:hAnsi="Times New Roman" w:eastAsia="仿宋_GB2312" w:cs="Times New Roman"/>
          <w:sz w:val="32"/>
          <w:szCs w:val="32"/>
          <w:u w:val="none"/>
        </w:rPr>
        <w:t>（1）一般公共服务（类</w:t>
      </w:r>
      <w:r>
        <w:rPr>
          <w:rFonts w:ascii="Times New Roman" w:hAnsi="Times New Roman" w:eastAsia="仿宋_GB2312" w:cs="Times New Roman"/>
          <w:sz w:val="32"/>
          <w:szCs w:val="32"/>
          <w:highlight w:val="none"/>
          <w:u w:val="none"/>
        </w:rPr>
        <w:t>）支出</w:t>
      </w:r>
      <w:r>
        <w:rPr>
          <w:rFonts w:hint="eastAsia" w:eastAsia="仿宋_GB2312"/>
          <w:sz w:val="32"/>
          <w:szCs w:val="32"/>
          <w:highlight w:val="none"/>
          <w:u w:val="none"/>
          <w:lang w:val="en-US" w:eastAsia="zh-CN"/>
        </w:rPr>
        <w:t>1053.55</w:t>
      </w:r>
      <w:r>
        <w:rPr>
          <w:rFonts w:ascii="Times New Roman" w:hAnsi="Times New Roman" w:eastAsia="仿宋_GB2312" w:cs="Times New Roman"/>
          <w:sz w:val="32"/>
          <w:szCs w:val="32"/>
          <w:u w:val="none"/>
        </w:rPr>
        <w:t>万元，主要用于我单位在职人员基本工资、津贴补贴等人员经费以及机关运行经费支出，保障机构正常运行、开展日常工作；包头冬春蔬菜、口岸办的口岸通勤、满都拉口岸航空口岸的保障经费。与上年相比</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96.64</w:t>
      </w:r>
      <w:r>
        <w:rPr>
          <w:rFonts w:ascii="Times New Roman" w:hAnsi="Times New Roman" w:eastAsia="仿宋_GB2312" w:cs="Times New Roman"/>
          <w:sz w:val="32"/>
          <w:szCs w:val="32"/>
          <w:u w:val="none"/>
        </w:rPr>
        <w:t>万元，</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10.10</w:t>
      </w:r>
      <w:r>
        <w:rPr>
          <w:rFonts w:ascii="Times New Roman" w:hAnsi="Times New Roman" w:eastAsia="仿宋_GB2312" w:cs="Times New Roman"/>
          <w:sz w:val="32"/>
          <w:szCs w:val="32"/>
          <w:u w:val="none"/>
        </w:rPr>
        <w:t>%。主要原因</w:t>
      </w:r>
      <w:r>
        <w:rPr>
          <w:rFonts w:hint="eastAsia" w:ascii="Times New Roman" w:hAnsi="Times New Roman" w:eastAsia="仿宋_GB2312" w:cs="Times New Roman"/>
          <w:kern w:val="2"/>
          <w:sz w:val="32"/>
          <w:szCs w:val="32"/>
          <w:highlight w:val="none"/>
          <w:u w:val="none"/>
          <w:lang w:val="en-US" w:eastAsia="zh-CN" w:bidi="ar-SA"/>
        </w:rPr>
        <w:t>一是</w:t>
      </w:r>
      <w:r>
        <w:rPr>
          <w:rFonts w:hint="eastAsia" w:eastAsia="仿宋_GB2312" w:cs="Times New Roman"/>
          <w:kern w:val="2"/>
          <w:sz w:val="32"/>
          <w:szCs w:val="32"/>
          <w:highlight w:val="none"/>
          <w:u w:val="none"/>
          <w:lang w:val="en-US" w:eastAsia="zh-CN" w:bidi="ar-SA"/>
        </w:rPr>
        <w:t>所属二级单位</w:t>
      </w:r>
      <w:r>
        <w:rPr>
          <w:rFonts w:hint="eastAsia" w:eastAsia="仿宋_GB2312" w:cs="Times New Roman"/>
          <w:sz w:val="32"/>
          <w:szCs w:val="32"/>
          <w:u w:val="none"/>
          <w:lang w:val="en-US" w:eastAsia="zh-CN"/>
        </w:rPr>
        <w:t>包头市口岸服务中心的“口岸通勤车服务”项目经费收入增加22.72万元、新增“开行中欧班列”经费收入100万元；二是包头市商务局本级调入石丽娜，</w:t>
      </w:r>
      <w:r>
        <w:rPr>
          <w:rFonts w:hint="eastAsia" w:eastAsia="仿宋_GB2312"/>
          <w:sz w:val="32"/>
          <w:szCs w:val="32"/>
          <w:u w:val="none"/>
          <w:lang w:val="en-US" w:eastAsia="zh-CN"/>
        </w:rPr>
        <w:t>在职人员职务职级晋升，人员经费及公用经费收入增加。</w:t>
      </w:r>
    </w:p>
    <w:p w14:paraId="56E1E605">
      <w:pPr>
        <w:pStyle w:val="8"/>
        <w:tabs>
          <w:tab w:val="left" w:pos="1389"/>
          <w:tab w:val="left" w:pos="4911"/>
          <w:tab w:val="left" w:pos="5898"/>
        </w:tabs>
        <w:spacing w:after="0" w:line="600" w:lineRule="exact"/>
        <w:ind w:firstLine="640" w:firstLineChars="200"/>
        <w:jc w:val="both"/>
        <w:rPr>
          <w:rFonts w:eastAsia="仿宋_GB2312"/>
          <w:sz w:val="32"/>
          <w:szCs w:val="32"/>
          <w:u w:val="none"/>
        </w:rPr>
      </w:pPr>
      <w:r>
        <w:rPr>
          <w:rFonts w:ascii="Times New Roman" w:hAnsi="Times New Roman" w:eastAsia="仿宋_GB2312" w:cs="Times New Roman"/>
          <w:sz w:val="32"/>
          <w:szCs w:val="32"/>
          <w:u w:val="none"/>
        </w:rPr>
        <w:t>（2）社会保障和就业支出（类）</w:t>
      </w:r>
      <w:r>
        <w:rPr>
          <w:rFonts w:hint="eastAsia" w:eastAsia="仿宋_GB2312" w:cs="Times New Roman"/>
          <w:sz w:val="32"/>
          <w:szCs w:val="32"/>
          <w:u w:val="none"/>
          <w:lang w:val="en-US" w:eastAsia="zh-CN"/>
        </w:rPr>
        <w:t>142.03</w:t>
      </w:r>
      <w:r>
        <w:rPr>
          <w:rFonts w:ascii="Times New Roman" w:hAnsi="Times New Roman" w:eastAsia="仿宋_GB2312" w:cs="Times New Roman"/>
          <w:sz w:val="32"/>
          <w:szCs w:val="32"/>
          <w:u w:val="none"/>
        </w:rPr>
        <w:t>万元，主要用于退休人员 工资、津贴补贴、退休人员统筹项目外支出、养老保险单位缴费支出、 职业年金单位缴费支出以及离退休人员工作等方面支出。与上年相比</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11.51</w:t>
      </w:r>
      <w:r>
        <w:rPr>
          <w:rFonts w:ascii="Times New Roman" w:hAnsi="Times New Roman" w:eastAsia="仿宋_GB2312" w:cs="Times New Roman"/>
          <w:sz w:val="32"/>
          <w:szCs w:val="32"/>
          <w:u w:val="none"/>
        </w:rPr>
        <w:t>万元，</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8.82</w:t>
      </w:r>
      <w:r>
        <w:rPr>
          <w:rFonts w:hint="eastAsia" w:ascii="Times New Roman" w:hAnsi="Times New Roman" w:eastAsia="仿宋_GB2312" w:cs="Times New Roman"/>
          <w:sz w:val="32"/>
          <w:szCs w:val="32"/>
          <w:u w:val="none"/>
          <w:lang w:val="en-US" w:eastAsia="zh-CN"/>
        </w:rPr>
        <w:t>%</w:t>
      </w:r>
      <w:r>
        <w:rPr>
          <w:rFonts w:ascii="Times New Roman" w:hAnsi="Times New Roman" w:eastAsia="仿宋_GB2312" w:cs="Times New Roman"/>
          <w:sz w:val="32"/>
          <w:szCs w:val="32"/>
          <w:u w:val="none"/>
        </w:rPr>
        <w:t>。主要原因</w:t>
      </w:r>
      <w:r>
        <w:rPr>
          <w:rFonts w:hint="eastAsia" w:eastAsia="仿宋_GB2312" w:cs="Times New Roman"/>
          <w:sz w:val="32"/>
          <w:szCs w:val="32"/>
          <w:highlight w:val="none"/>
          <w:u w:val="none"/>
          <w:lang w:eastAsia="zh-CN"/>
        </w:rPr>
        <w:t>一</w:t>
      </w:r>
      <w:r>
        <w:rPr>
          <w:rFonts w:hint="default" w:ascii="Times New Roman" w:hAnsi="Times New Roman" w:eastAsia="仿宋_GB2312" w:cs="Times New Roman"/>
          <w:sz w:val="32"/>
          <w:szCs w:val="32"/>
          <w:highlight w:val="none"/>
          <w:u w:val="none"/>
        </w:rPr>
        <w:t>是</w:t>
      </w:r>
      <w:r>
        <w:rPr>
          <w:rFonts w:hint="eastAsia" w:eastAsia="仿宋_GB2312" w:cs="Times New Roman"/>
          <w:sz w:val="32"/>
          <w:szCs w:val="32"/>
          <w:highlight w:val="none"/>
          <w:u w:val="none"/>
          <w:lang w:eastAsia="zh-CN"/>
        </w:rPr>
        <w:t>退休人员地方补贴由社保代发调整为从本单位发放；二是增加</w:t>
      </w:r>
      <w:r>
        <w:rPr>
          <w:rFonts w:hint="eastAsia" w:eastAsia="仿宋_GB2312" w:cs="Times New Roman"/>
          <w:sz w:val="32"/>
          <w:szCs w:val="32"/>
          <w:u w:val="none"/>
          <w:lang w:eastAsia="zh-CN"/>
        </w:rPr>
        <w:t>退休人员李靖</w:t>
      </w:r>
      <w:r>
        <w:rPr>
          <w:rFonts w:hint="eastAsia" w:eastAsia="仿宋_GB2312" w:cs="Times New Roman"/>
          <w:sz w:val="32"/>
          <w:szCs w:val="32"/>
          <w:u w:val="none"/>
          <w:lang w:val="en-US" w:eastAsia="zh-CN"/>
        </w:rPr>
        <w:t>;三</w:t>
      </w:r>
      <w:r>
        <w:rPr>
          <w:rFonts w:ascii="Times New Roman" w:hAnsi="Times New Roman" w:eastAsia="仿宋_GB2312" w:cs="Times New Roman"/>
          <w:sz w:val="32"/>
          <w:szCs w:val="32"/>
          <w:u w:val="none"/>
        </w:rPr>
        <w:t>是</w:t>
      </w:r>
      <w:r>
        <w:rPr>
          <w:rFonts w:hint="eastAsia" w:eastAsia="仿宋_GB2312" w:cs="Times New Roman"/>
          <w:sz w:val="32"/>
          <w:szCs w:val="32"/>
          <w:u w:val="none"/>
          <w:lang w:val="en-US" w:eastAsia="zh-CN"/>
        </w:rPr>
        <w:t>包头市商务局本级调入石丽娜，</w:t>
      </w:r>
      <w:r>
        <w:rPr>
          <w:rFonts w:hint="eastAsia" w:eastAsia="仿宋_GB2312"/>
          <w:sz w:val="32"/>
          <w:szCs w:val="32"/>
          <w:u w:val="none"/>
          <w:lang w:val="en-US" w:eastAsia="zh-CN"/>
        </w:rPr>
        <w:t>在职人员职务职级晋升，人员经费及公用经费收入增加。</w:t>
      </w:r>
    </w:p>
    <w:p w14:paraId="42AB2271">
      <w:pPr>
        <w:pStyle w:val="8"/>
        <w:tabs>
          <w:tab w:val="left" w:pos="1389"/>
          <w:tab w:val="left" w:pos="4911"/>
          <w:tab w:val="left" w:pos="5898"/>
        </w:tabs>
        <w:spacing w:after="0" w:line="600" w:lineRule="exact"/>
        <w:ind w:firstLine="640" w:firstLineChars="200"/>
        <w:jc w:val="both"/>
        <w:rPr>
          <w:rFonts w:hint="eastAsia" w:eastAsia="仿宋_GB2312"/>
          <w:sz w:val="32"/>
          <w:szCs w:val="32"/>
          <w:u w:val="none"/>
          <w:lang w:val="en-US" w:eastAsia="zh-CN"/>
        </w:rPr>
      </w:pPr>
      <w:r>
        <w:rPr>
          <w:rFonts w:ascii="Times New Roman" w:hAnsi="Times New Roman" w:eastAsia="仿宋_GB2312" w:cs="Times New Roman"/>
          <w:sz w:val="32"/>
          <w:szCs w:val="32"/>
          <w:u w:val="none"/>
        </w:rPr>
        <w:t>（3）卫生健康支出（类）</w:t>
      </w:r>
      <w:r>
        <w:rPr>
          <w:rFonts w:hint="eastAsia" w:eastAsia="仿宋_GB2312" w:cs="Times New Roman"/>
          <w:sz w:val="32"/>
          <w:szCs w:val="32"/>
          <w:u w:val="none"/>
          <w:lang w:val="en-US" w:eastAsia="zh-CN"/>
        </w:rPr>
        <w:t>40.54</w:t>
      </w:r>
      <w:r>
        <w:rPr>
          <w:rFonts w:ascii="Times New Roman" w:hAnsi="Times New Roman" w:eastAsia="仿宋_GB2312" w:cs="Times New Roman"/>
          <w:sz w:val="32"/>
          <w:szCs w:val="32"/>
          <w:u w:val="none"/>
        </w:rPr>
        <w:t>万元，主要用于职工基本医疗保险缴费支出。与上年相比</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3.28</w:t>
      </w:r>
      <w:r>
        <w:rPr>
          <w:rFonts w:ascii="Times New Roman" w:hAnsi="Times New Roman" w:eastAsia="仿宋_GB2312" w:cs="Times New Roman"/>
          <w:sz w:val="32"/>
          <w:szCs w:val="32"/>
          <w:u w:val="none"/>
        </w:rPr>
        <w:t>万元，</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8.81</w:t>
      </w:r>
      <w:r>
        <w:rPr>
          <w:rFonts w:hint="eastAsia" w:ascii="Times New Roman" w:hAnsi="Times New Roman" w:eastAsia="仿宋_GB2312" w:cs="Times New Roman"/>
          <w:sz w:val="32"/>
          <w:szCs w:val="32"/>
          <w:u w:val="none"/>
          <w:lang w:val="en-US" w:eastAsia="zh-CN"/>
        </w:rPr>
        <w:t>%。</w:t>
      </w:r>
      <w:r>
        <w:rPr>
          <w:rFonts w:ascii="Times New Roman" w:hAnsi="Times New Roman" w:eastAsia="仿宋_GB2312" w:cs="Times New Roman"/>
          <w:sz w:val="32"/>
          <w:szCs w:val="32"/>
          <w:u w:val="none"/>
        </w:rPr>
        <w:t>主要原因</w:t>
      </w:r>
      <w:r>
        <w:rPr>
          <w:rFonts w:ascii="Times New Roman" w:hAnsi="Times New Roman" w:eastAsia="仿宋_GB2312" w:cs="Times New Roman"/>
          <w:kern w:val="2"/>
          <w:sz w:val="32"/>
          <w:szCs w:val="32"/>
          <w:highlight w:val="none"/>
          <w:u w:val="none"/>
          <w:lang w:val="en-US" w:eastAsia="zh-CN" w:bidi="ar-SA"/>
        </w:rPr>
        <w:t>主要原因</w:t>
      </w:r>
      <w:r>
        <w:rPr>
          <w:rFonts w:hint="eastAsia" w:eastAsia="仿宋_GB2312"/>
          <w:sz w:val="32"/>
          <w:szCs w:val="32"/>
          <w:highlight w:val="none"/>
          <w:u w:val="none"/>
          <w:lang w:eastAsia="zh-CN"/>
        </w:rPr>
        <w:t>一</w:t>
      </w:r>
      <w:r>
        <w:rPr>
          <w:rFonts w:eastAsia="仿宋_GB2312"/>
          <w:sz w:val="32"/>
          <w:szCs w:val="32"/>
          <w:u w:val="none"/>
        </w:rPr>
        <w:t>是</w:t>
      </w:r>
      <w:r>
        <w:rPr>
          <w:rFonts w:hint="eastAsia" w:eastAsia="仿宋_GB2312"/>
          <w:sz w:val="32"/>
          <w:szCs w:val="32"/>
          <w:u w:val="none"/>
          <w:lang w:eastAsia="zh-CN"/>
        </w:rPr>
        <w:t>调入石丽娜；二是</w:t>
      </w:r>
      <w:r>
        <w:rPr>
          <w:rFonts w:hint="eastAsia" w:eastAsia="仿宋_GB2312"/>
          <w:sz w:val="32"/>
          <w:szCs w:val="32"/>
          <w:u w:val="none"/>
          <w:lang w:val="en-US" w:eastAsia="zh-CN"/>
        </w:rPr>
        <w:t>本年在职人员职务职级晋升，调增医疗保险费缴费基数。</w:t>
      </w:r>
    </w:p>
    <w:p w14:paraId="687FD636">
      <w:pPr>
        <w:pStyle w:val="8"/>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 w:cs="Times New Roman"/>
          <w:w w:val="95"/>
          <w:kern w:val="2"/>
          <w:sz w:val="32"/>
          <w:szCs w:val="32"/>
          <w:u w:val="none"/>
          <w:lang w:val="en-US" w:eastAsia="zh-CN" w:bidi="ar-SA"/>
        </w:rPr>
      </w:pPr>
      <w:r>
        <w:rPr>
          <w:rFonts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val="en-US" w:eastAsia="zh-CN"/>
        </w:rPr>
        <w:t>4</w:t>
      </w:r>
      <w:r>
        <w:rPr>
          <w:rFonts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rPr>
        <w:t>商业服务业等支出</w:t>
      </w:r>
      <w:r>
        <w:rPr>
          <w:rFonts w:ascii="Times New Roman" w:hAnsi="Times New Roman" w:eastAsia="仿宋_GB2312" w:cs="Times New Roman"/>
          <w:sz w:val="32"/>
          <w:szCs w:val="32"/>
          <w:u w:val="none"/>
        </w:rPr>
        <w:t>（类）</w:t>
      </w:r>
      <w:r>
        <w:rPr>
          <w:rFonts w:hint="eastAsia" w:eastAsia="仿宋_GB2312" w:cs="Times New Roman"/>
          <w:sz w:val="32"/>
          <w:szCs w:val="32"/>
          <w:u w:val="none"/>
          <w:lang w:val="en-US" w:eastAsia="zh-CN"/>
        </w:rPr>
        <w:t>100</w:t>
      </w:r>
      <w:r>
        <w:rPr>
          <w:rFonts w:ascii="Times New Roman" w:hAnsi="Times New Roman" w:eastAsia="仿宋_GB2312" w:cs="Times New Roman"/>
          <w:sz w:val="32"/>
          <w:szCs w:val="32"/>
          <w:u w:val="none"/>
        </w:rPr>
        <w:t>万元，主要用于</w:t>
      </w:r>
      <w:r>
        <w:rPr>
          <w:rFonts w:hint="eastAsia" w:eastAsia="仿宋_GB2312" w:cs="Times New Roman"/>
          <w:kern w:val="2"/>
          <w:sz w:val="32"/>
          <w:szCs w:val="32"/>
          <w:highlight w:val="none"/>
          <w:u w:val="none"/>
          <w:lang w:val="en-US" w:eastAsia="zh-CN" w:bidi="ar-SA"/>
        </w:rPr>
        <w:t>所属二级单位</w:t>
      </w:r>
      <w:r>
        <w:rPr>
          <w:rFonts w:hint="eastAsia" w:eastAsia="仿宋_GB2312" w:cs="Times New Roman"/>
          <w:sz w:val="32"/>
          <w:szCs w:val="32"/>
          <w:u w:val="none"/>
          <w:lang w:val="en-US" w:eastAsia="zh-CN"/>
        </w:rPr>
        <w:t>包头市口岸服务中心</w:t>
      </w:r>
      <w:r>
        <w:rPr>
          <w:rFonts w:hint="eastAsia" w:eastAsia="仿宋_GB2312" w:cs="Times New Roman"/>
          <w:sz w:val="32"/>
          <w:szCs w:val="32"/>
          <w:highlight w:val="none"/>
          <w:u w:val="none"/>
          <w:lang w:val="en-US" w:eastAsia="zh-CN"/>
        </w:rPr>
        <w:t>的</w:t>
      </w:r>
      <w:r>
        <w:rPr>
          <w:rFonts w:hint="eastAsia" w:ascii="Times New Roman" w:hAnsi="Times New Roman" w:eastAsia="仿宋" w:cs="Times New Roman"/>
          <w:w w:val="95"/>
          <w:kern w:val="2"/>
          <w:sz w:val="32"/>
          <w:szCs w:val="32"/>
          <w:highlight w:val="none"/>
          <w:u w:val="none"/>
          <w:lang w:val="en-US" w:eastAsia="zh-CN" w:bidi="ar-SA"/>
        </w:rPr>
        <w:t>开行中欧班列支出、</w:t>
      </w:r>
      <w:r>
        <w:rPr>
          <w:rFonts w:hint="eastAsia" w:ascii="Times New Roman" w:hAnsi="Times New Roman" w:eastAsia="仿宋_GB2312" w:cs="Times New Roman"/>
          <w:kern w:val="2"/>
          <w:sz w:val="32"/>
          <w:szCs w:val="32"/>
          <w:highlight w:val="none"/>
          <w:u w:val="none"/>
          <w:lang w:val="en-US" w:eastAsia="zh-CN" w:bidi="ar-SA"/>
        </w:rPr>
        <w:t>包头市冬春蔬菜储备项目支出</w:t>
      </w:r>
      <w:r>
        <w:rPr>
          <w:rFonts w:ascii="Times New Roman" w:hAnsi="Times New Roman" w:eastAsia="仿宋_GB2312" w:cs="Times New Roman"/>
          <w:sz w:val="32"/>
          <w:szCs w:val="32"/>
          <w:highlight w:val="none"/>
          <w:u w:val="none"/>
        </w:rPr>
        <w:t>。与上年相比</w:t>
      </w:r>
      <w:r>
        <w:rPr>
          <w:rFonts w:hint="eastAsia" w:eastAsia="仿宋_GB2312" w:cs="Times New Roman"/>
          <w:sz w:val="32"/>
          <w:szCs w:val="32"/>
          <w:highlight w:val="none"/>
          <w:u w:val="none"/>
          <w:lang w:eastAsia="zh-CN"/>
        </w:rPr>
        <w:t>增加</w:t>
      </w:r>
      <w:r>
        <w:rPr>
          <w:rFonts w:hint="eastAsia" w:eastAsia="仿宋_GB2312" w:cs="Times New Roman"/>
          <w:sz w:val="32"/>
          <w:szCs w:val="32"/>
          <w:highlight w:val="none"/>
          <w:u w:val="none"/>
          <w:lang w:val="en-US" w:eastAsia="zh-CN"/>
        </w:rPr>
        <w:t>10</w:t>
      </w:r>
      <w:r>
        <w:rPr>
          <w:rFonts w:ascii="Times New Roman" w:hAnsi="Times New Roman" w:eastAsia="仿宋_GB2312" w:cs="Times New Roman"/>
          <w:sz w:val="32"/>
          <w:szCs w:val="32"/>
          <w:highlight w:val="none"/>
          <w:u w:val="none"/>
        </w:rPr>
        <w:t>万元，</w:t>
      </w:r>
      <w:r>
        <w:rPr>
          <w:rFonts w:hint="eastAsia" w:eastAsia="仿宋_GB2312" w:cs="Times New Roman"/>
          <w:sz w:val="32"/>
          <w:szCs w:val="32"/>
          <w:highlight w:val="none"/>
          <w:u w:val="none"/>
          <w:lang w:eastAsia="zh-CN"/>
        </w:rPr>
        <w:t>增加</w:t>
      </w:r>
      <w:r>
        <w:rPr>
          <w:rFonts w:hint="eastAsia" w:eastAsia="仿宋_GB2312" w:cs="Times New Roman"/>
          <w:sz w:val="32"/>
          <w:szCs w:val="32"/>
          <w:highlight w:val="none"/>
          <w:u w:val="none"/>
          <w:lang w:val="en-US" w:eastAsia="zh-CN"/>
        </w:rPr>
        <w:t>11.11</w:t>
      </w:r>
      <w:r>
        <w:rPr>
          <w:rFonts w:hint="eastAsia" w:ascii="Times New Roman" w:hAnsi="Times New Roman" w:eastAsia="仿宋_GB2312" w:cs="Times New Roman"/>
          <w:sz w:val="32"/>
          <w:szCs w:val="32"/>
          <w:highlight w:val="none"/>
          <w:u w:val="none"/>
          <w:lang w:val="en-US" w:eastAsia="zh-CN"/>
        </w:rPr>
        <w:t>%。</w:t>
      </w:r>
      <w:r>
        <w:rPr>
          <w:rFonts w:ascii="Times New Roman" w:hAnsi="Times New Roman" w:eastAsia="仿宋_GB2312" w:cs="Times New Roman"/>
          <w:sz w:val="32"/>
          <w:szCs w:val="32"/>
          <w:highlight w:val="none"/>
          <w:u w:val="none"/>
        </w:rPr>
        <w:t>主要原因</w:t>
      </w:r>
      <w:r>
        <w:rPr>
          <w:rFonts w:hint="eastAsia" w:eastAsia="仿宋_GB2312" w:cs="Times New Roman"/>
          <w:sz w:val="32"/>
          <w:szCs w:val="32"/>
          <w:highlight w:val="none"/>
          <w:u w:val="none"/>
          <w:lang w:eastAsia="zh-CN"/>
        </w:rPr>
        <w:t>是“</w:t>
      </w:r>
      <w:r>
        <w:rPr>
          <w:rFonts w:hint="eastAsia" w:ascii="Times New Roman" w:hAnsi="Times New Roman" w:eastAsia="仿宋" w:cs="Times New Roman"/>
          <w:w w:val="95"/>
          <w:kern w:val="2"/>
          <w:sz w:val="32"/>
          <w:szCs w:val="32"/>
          <w:highlight w:val="none"/>
          <w:u w:val="none"/>
          <w:lang w:val="en-US" w:eastAsia="zh-CN" w:bidi="ar-SA"/>
        </w:rPr>
        <w:t>开行中欧班列经费”项目上年于年中下达，年初预算时未列</w:t>
      </w:r>
      <w:r>
        <w:rPr>
          <w:rFonts w:hint="eastAsia" w:ascii="Times New Roman" w:hAnsi="Times New Roman" w:eastAsia="仿宋" w:cs="Times New Roman"/>
          <w:w w:val="95"/>
          <w:kern w:val="2"/>
          <w:sz w:val="32"/>
          <w:szCs w:val="32"/>
          <w:u w:val="none"/>
          <w:lang w:val="en-US" w:eastAsia="zh-CN" w:bidi="ar-SA"/>
        </w:rPr>
        <w:t>。</w:t>
      </w:r>
    </w:p>
    <w:p w14:paraId="49FBD359">
      <w:pPr>
        <w:pStyle w:val="8"/>
        <w:tabs>
          <w:tab w:val="left" w:pos="2671"/>
          <w:tab w:val="left" w:pos="5000"/>
          <w:tab w:val="left" w:pos="6190"/>
        </w:tabs>
        <w:spacing w:after="0" w:line="600" w:lineRule="exact"/>
        <w:jc w:val="both"/>
        <w:rPr>
          <w:rFonts w:hint="eastAsia" w:ascii="Times New Roman" w:hAnsi="Times New Roman" w:eastAsia="仿宋_GB2312" w:cs="Times New Roman"/>
          <w:kern w:val="2"/>
          <w:sz w:val="32"/>
          <w:szCs w:val="32"/>
          <w:u w:val="none"/>
          <w:lang w:val="en-US" w:eastAsia="zh-CN" w:bidi="ar-SA"/>
        </w:rPr>
      </w:pPr>
    </w:p>
    <w:p w14:paraId="32128810">
      <w:pPr>
        <w:pStyle w:val="8"/>
        <w:tabs>
          <w:tab w:val="left" w:pos="1389"/>
          <w:tab w:val="left" w:pos="4911"/>
          <w:tab w:val="left" w:pos="5898"/>
        </w:tabs>
        <w:spacing w:after="0" w:line="600" w:lineRule="exact"/>
        <w:ind w:firstLine="640" w:firstLineChars="200"/>
        <w:jc w:val="both"/>
        <w:rPr>
          <w:rFonts w:eastAsia="仿宋_GB2312"/>
          <w:sz w:val="32"/>
          <w:szCs w:val="32"/>
          <w:u w:val="none"/>
        </w:rPr>
      </w:pPr>
      <w:r>
        <w:rPr>
          <w:rFonts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val="en-US" w:eastAsia="zh-CN"/>
        </w:rPr>
        <w:t>5</w:t>
      </w:r>
      <w:r>
        <w:rPr>
          <w:rFonts w:ascii="Times New Roman" w:hAnsi="Times New Roman" w:eastAsia="仿宋_GB2312" w:cs="Times New Roman"/>
          <w:sz w:val="32"/>
          <w:szCs w:val="32"/>
          <w:u w:val="none"/>
        </w:rPr>
        <w:t>）住房保障支出（类）</w:t>
      </w:r>
      <w:r>
        <w:rPr>
          <w:rFonts w:hint="eastAsia" w:eastAsia="仿宋_GB2312" w:cs="Times New Roman"/>
          <w:sz w:val="32"/>
          <w:szCs w:val="32"/>
          <w:u w:val="none"/>
          <w:lang w:val="en-US" w:eastAsia="zh-CN"/>
        </w:rPr>
        <w:t>66.56</w:t>
      </w:r>
      <w:r>
        <w:rPr>
          <w:rFonts w:ascii="Times New Roman" w:hAnsi="Times New Roman" w:eastAsia="仿宋_GB2312" w:cs="Times New Roman"/>
          <w:sz w:val="32"/>
          <w:szCs w:val="32"/>
          <w:u w:val="none"/>
        </w:rPr>
        <w:t>万元，主要用于缴纳职工住房公积金。与上年相比</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5.46</w:t>
      </w:r>
      <w:r>
        <w:rPr>
          <w:rFonts w:hint="eastAsia" w:ascii="Times New Roman" w:hAnsi="Times New Roman" w:eastAsia="仿宋_GB2312" w:cs="Times New Roman"/>
          <w:sz w:val="32"/>
          <w:szCs w:val="32"/>
          <w:u w:val="none"/>
          <w:lang w:val="en-US" w:eastAsia="zh-CN"/>
        </w:rPr>
        <w:t>万元，</w:t>
      </w:r>
      <w:r>
        <w:rPr>
          <w:rFonts w:hint="eastAsia" w:eastAsia="仿宋_GB2312" w:cs="Times New Roman"/>
          <w:sz w:val="32"/>
          <w:szCs w:val="32"/>
          <w:u w:val="none"/>
          <w:lang w:val="en-US" w:eastAsia="zh-CN"/>
        </w:rPr>
        <w:t>增加8.94</w:t>
      </w:r>
      <w:r>
        <w:rPr>
          <w:rFonts w:hint="eastAsia" w:ascii="Times New Roman" w:hAnsi="Times New Roman" w:eastAsia="仿宋_GB2312" w:cs="Times New Roman"/>
          <w:sz w:val="32"/>
          <w:szCs w:val="32"/>
          <w:u w:val="none"/>
          <w:lang w:val="en-US" w:eastAsia="zh-CN"/>
        </w:rPr>
        <w:t>%</w:t>
      </w:r>
      <w:r>
        <w:rPr>
          <w:rFonts w:ascii="Times New Roman" w:hAnsi="Times New Roman" w:eastAsia="仿宋_GB2312" w:cs="Times New Roman"/>
          <w:sz w:val="32"/>
          <w:szCs w:val="32"/>
          <w:u w:val="none"/>
        </w:rPr>
        <w:t>。主要原因</w:t>
      </w:r>
      <w:r>
        <w:rPr>
          <w:rFonts w:hint="eastAsia" w:eastAsia="仿宋_GB2312"/>
          <w:sz w:val="32"/>
          <w:szCs w:val="32"/>
          <w:highlight w:val="none"/>
          <w:u w:val="none"/>
          <w:lang w:eastAsia="zh-CN"/>
        </w:rPr>
        <w:t>一</w:t>
      </w:r>
      <w:r>
        <w:rPr>
          <w:rFonts w:eastAsia="仿宋_GB2312"/>
          <w:sz w:val="32"/>
          <w:szCs w:val="32"/>
          <w:u w:val="none"/>
        </w:rPr>
        <w:t>是</w:t>
      </w:r>
      <w:r>
        <w:rPr>
          <w:rFonts w:hint="eastAsia" w:eastAsia="仿宋_GB2312"/>
          <w:sz w:val="32"/>
          <w:szCs w:val="32"/>
          <w:u w:val="none"/>
          <w:lang w:eastAsia="zh-CN"/>
        </w:rPr>
        <w:t>调入石丽娜；二是</w:t>
      </w:r>
      <w:r>
        <w:rPr>
          <w:rFonts w:hint="eastAsia" w:eastAsia="仿宋_GB2312"/>
          <w:sz w:val="32"/>
          <w:szCs w:val="32"/>
          <w:u w:val="none"/>
          <w:lang w:val="en-US" w:eastAsia="zh-CN"/>
        </w:rPr>
        <w:t>本年在职人员职务职级晋升，调增住房公积金缴存基数。</w:t>
      </w:r>
    </w:p>
    <w:p w14:paraId="7D852D6F">
      <w:pPr>
        <w:pStyle w:val="8"/>
        <w:tabs>
          <w:tab w:val="left" w:pos="2671"/>
          <w:tab w:val="left" w:pos="5000"/>
          <w:tab w:val="left" w:pos="6190"/>
        </w:tabs>
        <w:spacing w:after="0" w:line="600" w:lineRule="exact"/>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2．年终结转结余为</w:t>
      </w:r>
      <w:r>
        <w:rPr>
          <w:rFonts w:hint="eastAsia" w:ascii="Times New Roman" w:hAnsi="Times New Roman" w:eastAsia="仿宋_GB2312" w:cs="Times New Roman"/>
          <w:sz w:val="32"/>
          <w:szCs w:val="32"/>
          <w:u w:val="none"/>
          <w:lang w:val="en-US" w:eastAsia="zh-CN"/>
        </w:rPr>
        <w:t>0</w:t>
      </w:r>
      <w:r>
        <w:rPr>
          <w:rFonts w:ascii="Times New Roman" w:hAnsi="Times New Roman" w:eastAsia="仿宋_GB2312" w:cs="Times New Roman"/>
          <w:sz w:val="32"/>
          <w:szCs w:val="32"/>
          <w:u w:val="none"/>
        </w:rPr>
        <w:t>万元，主要原因是不存在此项内容。</w:t>
      </w:r>
    </w:p>
    <w:p w14:paraId="40217320">
      <w:pPr>
        <w:spacing w:line="600" w:lineRule="exact"/>
        <w:ind w:firstLine="640" w:firstLineChars="200"/>
        <w:outlineLvl w:val="0"/>
        <w:rPr>
          <w:rFonts w:eastAsia="黑体" w:cs="黑体"/>
          <w:sz w:val="32"/>
          <w:szCs w:val="36"/>
          <w:u w:val="none"/>
        </w:rPr>
      </w:pPr>
      <w:r>
        <w:rPr>
          <w:rFonts w:hint="eastAsia" w:eastAsia="黑体" w:cs="黑体"/>
          <w:sz w:val="32"/>
          <w:szCs w:val="36"/>
          <w:u w:val="none"/>
        </w:rPr>
        <w:t>二、收入预算情况说明</w:t>
      </w:r>
    </w:p>
    <w:p w14:paraId="738BE6ED">
      <w:pPr>
        <w:pStyle w:val="8"/>
        <w:tabs>
          <w:tab w:val="left" w:pos="2671"/>
          <w:tab w:val="left" w:pos="5000"/>
          <w:tab w:val="left" w:pos="6190"/>
        </w:tabs>
        <w:spacing w:after="0" w:line="600" w:lineRule="exact"/>
        <w:ind w:firstLine="656" w:firstLineChars="200"/>
        <w:rPr>
          <w:rFonts w:eastAsia="仿宋_GB2312"/>
          <w:sz w:val="32"/>
          <w:szCs w:val="32"/>
          <w:u w:val="none"/>
        </w:rPr>
      </w:pPr>
      <w:r>
        <w:rPr>
          <w:rFonts w:hint="eastAsia" w:ascii="仿宋" w:hAnsi="仿宋" w:eastAsia="仿宋" w:cs="仿宋"/>
          <w:spacing w:val="9"/>
          <w:sz w:val="31"/>
          <w:szCs w:val="31"/>
          <w:u w:val="none"/>
          <w:lang w:eastAsia="zh-CN"/>
        </w:rPr>
        <w:t>包头市商务局部门</w:t>
      </w:r>
      <w:r>
        <w:rPr>
          <w:rFonts w:hint="eastAsia" w:eastAsia="仿宋_GB2312"/>
          <w:sz w:val="32"/>
          <w:szCs w:val="32"/>
          <w:u w:val="none"/>
          <w:lang w:val="en-US" w:eastAsia="zh-CN"/>
        </w:rPr>
        <w:t>2026</w:t>
      </w:r>
      <w:r>
        <w:rPr>
          <w:rFonts w:eastAsia="仿宋_GB2312"/>
          <w:sz w:val="32"/>
          <w:szCs w:val="32"/>
          <w:u w:val="none"/>
        </w:rPr>
        <w:t>年收入预算合计</w:t>
      </w:r>
      <w:r>
        <w:rPr>
          <w:rFonts w:hint="eastAsia" w:eastAsia="仿宋_GB2312"/>
          <w:sz w:val="32"/>
          <w:szCs w:val="32"/>
          <w:u w:val="none"/>
          <w:lang w:val="en-US" w:eastAsia="zh-CN"/>
        </w:rPr>
        <w:t>1402.68</w:t>
      </w:r>
      <w:r>
        <w:rPr>
          <w:rFonts w:eastAsia="仿宋_GB2312"/>
          <w:sz w:val="32"/>
          <w:szCs w:val="32"/>
          <w:u w:val="none"/>
        </w:rPr>
        <w:t>万元，包括本年收入</w:t>
      </w:r>
      <w:r>
        <w:rPr>
          <w:rFonts w:hint="eastAsia" w:eastAsia="仿宋_GB2312"/>
          <w:sz w:val="32"/>
          <w:szCs w:val="32"/>
          <w:u w:val="none"/>
          <w:lang w:val="en-US" w:eastAsia="zh-CN"/>
        </w:rPr>
        <w:t>1402.68</w:t>
      </w:r>
      <w:r>
        <w:rPr>
          <w:rFonts w:eastAsia="仿宋_GB2312"/>
          <w:sz w:val="32"/>
          <w:szCs w:val="32"/>
          <w:u w:val="none"/>
        </w:rPr>
        <w:t>万元，上年结转结余</w:t>
      </w:r>
      <w:r>
        <w:rPr>
          <w:rFonts w:hint="eastAsia" w:eastAsia="仿宋_GB2312"/>
          <w:sz w:val="32"/>
          <w:szCs w:val="32"/>
          <w:u w:val="none"/>
          <w:lang w:val="en-US" w:eastAsia="zh-CN"/>
        </w:rPr>
        <w:t>0.00</w:t>
      </w:r>
      <w:r>
        <w:rPr>
          <w:rFonts w:eastAsia="仿宋_GB2312"/>
          <w:sz w:val="32"/>
          <w:szCs w:val="32"/>
          <w:u w:val="none"/>
        </w:rPr>
        <w:t>万元。其中：</w:t>
      </w:r>
    </w:p>
    <w:p w14:paraId="44F65C2F">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本年一般公共预算收入</w:t>
      </w:r>
      <w:r>
        <w:rPr>
          <w:rFonts w:hint="eastAsia" w:eastAsia="仿宋_GB2312"/>
          <w:sz w:val="32"/>
          <w:szCs w:val="32"/>
          <w:u w:val="none"/>
          <w:lang w:val="en-US" w:eastAsia="zh-CN"/>
        </w:rPr>
        <w:t>1402.68</w:t>
      </w:r>
      <w:r>
        <w:rPr>
          <w:rFonts w:eastAsia="仿宋_GB2312"/>
          <w:sz w:val="32"/>
          <w:szCs w:val="32"/>
          <w:u w:val="none"/>
        </w:rPr>
        <w:t>万元，占</w:t>
      </w:r>
      <w:r>
        <w:rPr>
          <w:rFonts w:hint="eastAsia" w:eastAsia="仿宋_GB2312"/>
          <w:sz w:val="32"/>
          <w:szCs w:val="32"/>
          <w:u w:val="none"/>
          <w:lang w:val="en-US" w:eastAsia="zh-CN"/>
        </w:rPr>
        <w:t>100.00</w:t>
      </w:r>
      <w:r>
        <w:rPr>
          <w:rFonts w:eastAsia="仿宋_GB2312"/>
          <w:sz w:val="32"/>
          <w:szCs w:val="32"/>
          <w:u w:val="none"/>
        </w:rPr>
        <w:t>%；</w:t>
      </w:r>
    </w:p>
    <w:p w14:paraId="35D6703B">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本年政府性基金预算收入</w:t>
      </w:r>
      <w:r>
        <w:rPr>
          <w:rFonts w:hint="eastAsia" w:eastAsia="仿宋_GB2312"/>
          <w:sz w:val="32"/>
          <w:szCs w:val="32"/>
          <w:u w:val="none"/>
          <w:lang w:val="en-US" w:eastAsia="zh-CN"/>
        </w:rPr>
        <w:t>0</w:t>
      </w:r>
      <w:r>
        <w:rPr>
          <w:rFonts w:eastAsia="仿宋_GB2312"/>
          <w:sz w:val="32"/>
          <w:szCs w:val="32"/>
          <w:u w:val="none"/>
        </w:rPr>
        <w:t>万元，占</w:t>
      </w:r>
      <w:r>
        <w:rPr>
          <w:rFonts w:hint="eastAsia" w:eastAsia="仿宋_GB2312"/>
          <w:sz w:val="32"/>
          <w:szCs w:val="32"/>
          <w:u w:val="none"/>
          <w:lang w:val="en-US" w:eastAsia="zh-CN"/>
        </w:rPr>
        <w:t>0</w:t>
      </w:r>
      <w:r>
        <w:rPr>
          <w:rFonts w:eastAsia="仿宋_GB2312"/>
          <w:sz w:val="32"/>
          <w:szCs w:val="32"/>
          <w:u w:val="none"/>
        </w:rPr>
        <w:t>%；</w:t>
      </w:r>
    </w:p>
    <w:p w14:paraId="61397528">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本年国有资本经营预算收入</w:t>
      </w:r>
      <w:r>
        <w:rPr>
          <w:rFonts w:hint="eastAsia" w:eastAsia="仿宋_GB2312"/>
          <w:sz w:val="32"/>
          <w:szCs w:val="32"/>
          <w:u w:val="none"/>
          <w:lang w:val="en-US" w:eastAsia="zh-CN"/>
        </w:rPr>
        <w:t>0</w:t>
      </w:r>
      <w:r>
        <w:rPr>
          <w:rFonts w:eastAsia="仿宋_GB2312"/>
          <w:sz w:val="32"/>
          <w:szCs w:val="32"/>
          <w:u w:val="none"/>
        </w:rPr>
        <w:t>万元，占</w:t>
      </w:r>
      <w:r>
        <w:rPr>
          <w:rFonts w:hint="eastAsia" w:eastAsia="仿宋_GB2312"/>
          <w:sz w:val="32"/>
          <w:szCs w:val="32"/>
          <w:u w:val="none"/>
          <w:lang w:val="en-US" w:eastAsia="zh-CN"/>
        </w:rPr>
        <w:t>0</w:t>
      </w:r>
      <w:r>
        <w:rPr>
          <w:rFonts w:eastAsia="仿宋_GB2312"/>
          <w:sz w:val="32"/>
          <w:szCs w:val="32"/>
          <w:u w:val="none"/>
        </w:rPr>
        <w:t>%；</w:t>
      </w:r>
    </w:p>
    <w:p w14:paraId="484BD14E">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本年财政专户管理资金</w:t>
      </w:r>
      <w:r>
        <w:rPr>
          <w:rFonts w:hint="eastAsia" w:eastAsia="仿宋_GB2312"/>
          <w:sz w:val="32"/>
          <w:szCs w:val="32"/>
          <w:u w:val="none"/>
          <w:lang w:val="en-US" w:eastAsia="zh-CN"/>
        </w:rPr>
        <w:t>0</w:t>
      </w:r>
      <w:r>
        <w:rPr>
          <w:rFonts w:eastAsia="仿宋_GB2312"/>
          <w:sz w:val="32"/>
          <w:szCs w:val="32"/>
          <w:u w:val="none"/>
        </w:rPr>
        <w:t>万元，占</w:t>
      </w:r>
      <w:r>
        <w:rPr>
          <w:rFonts w:hint="eastAsia" w:eastAsia="仿宋_GB2312"/>
          <w:sz w:val="32"/>
          <w:szCs w:val="32"/>
          <w:u w:val="none"/>
          <w:lang w:val="en-US" w:eastAsia="zh-CN"/>
        </w:rPr>
        <w:t>0</w:t>
      </w:r>
      <w:r>
        <w:rPr>
          <w:rFonts w:eastAsia="仿宋_GB2312"/>
          <w:sz w:val="32"/>
          <w:szCs w:val="32"/>
          <w:u w:val="none"/>
        </w:rPr>
        <w:t>%；</w:t>
      </w:r>
    </w:p>
    <w:p w14:paraId="57B6E255">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本年事业收入</w:t>
      </w:r>
      <w:r>
        <w:rPr>
          <w:rFonts w:hint="eastAsia" w:eastAsia="仿宋_GB2312"/>
          <w:sz w:val="32"/>
          <w:szCs w:val="32"/>
          <w:u w:val="none"/>
          <w:lang w:val="en-US" w:eastAsia="zh-CN"/>
        </w:rPr>
        <w:t>0</w:t>
      </w:r>
      <w:r>
        <w:rPr>
          <w:rFonts w:eastAsia="仿宋_GB2312"/>
          <w:sz w:val="32"/>
          <w:szCs w:val="32"/>
          <w:u w:val="none"/>
        </w:rPr>
        <w:t>万元，占</w:t>
      </w:r>
      <w:r>
        <w:rPr>
          <w:rFonts w:hint="eastAsia" w:eastAsia="仿宋_GB2312"/>
          <w:sz w:val="32"/>
          <w:szCs w:val="32"/>
          <w:u w:val="none"/>
          <w:lang w:val="en-US" w:eastAsia="zh-CN"/>
        </w:rPr>
        <w:t>0</w:t>
      </w:r>
      <w:r>
        <w:rPr>
          <w:rFonts w:eastAsia="仿宋_GB2312"/>
          <w:sz w:val="32"/>
          <w:szCs w:val="32"/>
          <w:u w:val="none"/>
        </w:rPr>
        <w:t>%；</w:t>
      </w:r>
    </w:p>
    <w:p w14:paraId="624D005E">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本年事业单位经营收入</w:t>
      </w:r>
      <w:r>
        <w:rPr>
          <w:rFonts w:hint="eastAsia" w:eastAsia="仿宋_GB2312"/>
          <w:sz w:val="32"/>
          <w:szCs w:val="32"/>
          <w:u w:val="none"/>
          <w:lang w:val="en-US" w:eastAsia="zh-CN"/>
        </w:rPr>
        <w:t>0</w:t>
      </w:r>
      <w:r>
        <w:rPr>
          <w:rFonts w:eastAsia="仿宋_GB2312"/>
          <w:sz w:val="32"/>
          <w:szCs w:val="32"/>
          <w:u w:val="none"/>
        </w:rPr>
        <w:t>万元，占</w:t>
      </w:r>
      <w:r>
        <w:rPr>
          <w:rFonts w:hint="eastAsia" w:eastAsia="仿宋_GB2312"/>
          <w:sz w:val="32"/>
          <w:szCs w:val="32"/>
          <w:u w:val="none"/>
          <w:lang w:val="en-US" w:eastAsia="zh-CN"/>
        </w:rPr>
        <w:t>0</w:t>
      </w:r>
      <w:r>
        <w:rPr>
          <w:rFonts w:eastAsia="仿宋_GB2312"/>
          <w:sz w:val="32"/>
          <w:szCs w:val="32"/>
          <w:u w:val="none"/>
        </w:rPr>
        <w:t>%；</w:t>
      </w:r>
    </w:p>
    <w:p w14:paraId="463C0E5F">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本年上级补助收入</w:t>
      </w:r>
      <w:r>
        <w:rPr>
          <w:rFonts w:hint="eastAsia" w:eastAsia="仿宋_GB2312"/>
          <w:sz w:val="32"/>
          <w:szCs w:val="32"/>
          <w:u w:val="none"/>
          <w:lang w:val="en-US" w:eastAsia="zh-CN"/>
        </w:rPr>
        <w:t>0</w:t>
      </w:r>
      <w:r>
        <w:rPr>
          <w:rFonts w:eastAsia="仿宋_GB2312"/>
          <w:sz w:val="32"/>
          <w:szCs w:val="32"/>
          <w:u w:val="none"/>
        </w:rPr>
        <w:t>万元，占</w:t>
      </w:r>
      <w:r>
        <w:rPr>
          <w:rFonts w:hint="eastAsia" w:eastAsia="仿宋_GB2312"/>
          <w:sz w:val="32"/>
          <w:szCs w:val="32"/>
          <w:u w:val="none"/>
          <w:lang w:val="en-US" w:eastAsia="zh-CN"/>
        </w:rPr>
        <w:t>0</w:t>
      </w:r>
      <w:r>
        <w:rPr>
          <w:rFonts w:eastAsia="仿宋_GB2312"/>
          <w:sz w:val="32"/>
          <w:szCs w:val="32"/>
          <w:u w:val="none"/>
        </w:rPr>
        <w:t>%；</w:t>
      </w:r>
    </w:p>
    <w:p w14:paraId="127978D1">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本年附属单位上缴收入</w:t>
      </w:r>
      <w:r>
        <w:rPr>
          <w:rFonts w:hint="eastAsia" w:eastAsia="仿宋_GB2312"/>
          <w:sz w:val="32"/>
          <w:szCs w:val="32"/>
          <w:u w:val="none"/>
          <w:lang w:val="en-US" w:eastAsia="zh-CN"/>
        </w:rPr>
        <w:t>0</w:t>
      </w:r>
      <w:r>
        <w:rPr>
          <w:rFonts w:eastAsia="仿宋_GB2312"/>
          <w:sz w:val="32"/>
          <w:szCs w:val="32"/>
          <w:u w:val="none"/>
        </w:rPr>
        <w:t>万元，占</w:t>
      </w:r>
      <w:r>
        <w:rPr>
          <w:rFonts w:hint="eastAsia" w:eastAsia="仿宋_GB2312"/>
          <w:sz w:val="32"/>
          <w:szCs w:val="32"/>
          <w:u w:val="none"/>
          <w:lang w:val="en-US" w:eastAsia="zh-CN"/>
        </w:rPr>
        <w:t>0</w:t>
      </w:r>
      <w:r>
        <w:rPr>
          <w:rFonts w:eastAsia="仿宋_GB2312"/>
          <w:sz w:val="32"/>
          <w:szCs w:val="32"/>
          <w:u w:val="none"/>
        </w:rPr>
        <w:t>%；</w:t>
      </w:r>
    </w:p>
    <w:p w14:paraId="65562728">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本年其他收入</w:t>
      </w:r>
      <w:r>
        <w:rPr>
          <w:rFonts w:hint="eastAsia" w:eastAsia="仿宋_GB2312"/>
          <w:sz w:val="32"/>
          <w:szCs w:val="32"/>
          <w:u w:val="none"/>
          <w:lang w:val="en-US" w:eastAsia="zh-CN"/>
        </w:rPr>
        <w:t>0</w:t>
      </w:r>
      <w:r>
        <w:rPr>
          <w:rFonts w:eastAsia="仿宋_GB2312"/>
          <w:sz w:val="32"/>
          <w:szCs w:val="32"/>
          <w:u w:val="none"/>
        </w:rPr>
        <w:t>万元，占</w:t>
      </w:r>
      <w:r>
        <w:rPr>
          <w:rFonts w:hint="eastAsia" w:eastAsia="仿宋_GB2312"/>
          <w:sz w:val="32"/>
          <w:szCs w:val="32"/>
          <w:u w:val="none"/>
          <w:lang w:val="en-US" w:eastAsia="zh-CN"/>
        </w:rPr>
        <w:t>0</w:t>
      </w:r>
      <w:r>
        <w:rPr>
          <w:rFonts w:eastAsia="仿宋_GB2312"/>
          <w:sz w:val="32"/>
          <w:szCs w:val="32"/>
          <w:u w:val="none"/>
        </w:rPr>
        <w:t>%；</w:t>
      </w:r>
    </w:p>
    <w:p w14:paraId="19DCF931">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上年结转结余的一般公共预算收入</w:t>
      </w:r>
      <w:r>
        <w:rPr>
          <w:rFonts w:hint="eastAsia" w:eastAsia="仿宋_GB2312"/>
          <w:sz w:val="32"/>
          <w:szCs w:val="32"/>
          <w:u w:val="none"/>
          <w:lang w:val="en-US" w:eastAsia="zh-CN"/>
        </w:rPr>
        <w:t>0</w:t>
      </w:r>
      <w:r>
        <w:rPr>
          <w:rFonts w:eastAsia="仿宋_GB2312"/>
          <w:sz w:val="32"/>
          <w:szCs w:val="32"/>
          <w:u w:val="none"/>
        </w:rPr>
        <w:t>万元，占</w:t>
      </w:r>
      <w:r>
        <w:rPr>
          <w:rFonts w:hint="eastAsia" w:eastAsia="仿宋_GB2312"/>
          <w:sz w:val="32"/>
          <w:szCs w:val="32"/>
          <w:u w:val="none"/>
          <w:lang w:val="en-US" w:eastAsia="zh-CN"/>
        </w:rPr>
        <w:t>0</w:t>
      </w:r>
      <w:r>
        <w:rPr>
          <w:rFonts w:eastAsia="仿宋_GB2312"/>
          <w:sz w:val="32"/>
          <w:szCs w:val="32"/>
          <w:u w:val="none"/>
        </w:rPr>
        <w:t>%；</w:t>
      </w:r>
    </w:p>
    <w:p w14:paraId="7F295C58">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上年结转结余的政府性基金预算收入</w:t>
      </w:r>
      <w:r>
        <w:rPr>
          <w:rFonts w:hint="eastAsia" w:eastAsia="仿宋_GB2312"/>
          <w:sz w:val="32"/>
          <w:szCs w:val="32"/>
          <w:u w:val="none"/>
          <w:lang w:val="en-US" w:eastAsia="zh-CN"/>
        </w:rPr>
        <w:t>0</w:t>
      </w:r>
      <w:r>
        <w:rPr>
          <w:rFonts w:eastAsia="仿宋_GB2312"/>
          <w:sz w:val="32"/>
          <w:szCs w:val="32"/>
          <w:u w:val="none"/>
        </w:rPr>
        <w:t>万元，占</w:t>
      </w:r>
      <w:r>
        <w:rPr>
          <w:rFonts w:hint="eastAsia" w:eastAsia="仿宋_GB2312"/>
          <w:sz w:val="32"/>
          <w:szCs w:val="32"/>
          <w:u w:val="none"/>
          <w:lang w:val="en-US" w:eastAsia="zh-CN"/>
        </w:rPr>
        <w:t>0</w:t>
      </w:r>
      <w:r>
        <w:rPr>
          <w:rFonts w:eastAsia="仿宋_GB2312"/>
          <w:sz w:val="32"/>
          <w:szCs w:val="32"/>
          <w:u w:val="none"/>
        </w:rPr>
        <w:t>%；</w:t>
      </w:r>
    </w:p>
    <w:p w14:paraId="21616074">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上年结转结余的国有资本经营预算收入</w:t>
      </w:r>
      <w:r>
        <w:rPr>
          <w:rFonts w:hint="eastAsia" w:eastAsia="仿宋_GB2312"/>
          <w:sz w:val="32"/>
          <w:szCs w:val="32"/>
          <w:u w:val="none"/>
          <w:lang w:val="en-US" w:eastAsia="zh-CN"/>
        </w:rPr>
        <w:t>0</w:t>
      </w:r>
      <w:r>
        <w:rPr>
          <w:rFonts w:eastAsia="仿宋_GB2312"/>
          <w:sz w:val="32"/>
          <w:szCs w:val="32"/>
          <w:u w:val="none"/>
        </w:rPr>
        <w:t>万元，占</w:t>
      </w:r>
      <w:r>
        <w:rPr>
          <w:rFonts w:hint="eastAsia" w:eastAsia="仿宋_GB2312"/>
          <w:sz w:val="32"/>
          <w:szCs w:val="32"/>
          <w:u w:val="none"/>
          <w:lang w:val="en-US" w:eastAsia="zh-CN"/>
        </w:rPr>
        <w:t>0</w:t>
      </w:r>
      <w:r>
        <w:rPr>
          <w:rFonts w:eastAsia="仿宋_GB2312"/>
          <w:sz w:val="32"/>
          <w:szCs w:val="32"/>
          <w:u w:val="none"/>
        </w:rPr>
        <w:t>%；</w:t>
      </w:r>
    </w:p>
    <w:p w14:paraId="798C799E">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上年结转结余的财政专户管理资金</w:t>
      </w:r>
      <w:r>
        <w:rPr>
          <w:rFonts w:hint="eastAsia" w:eastAsia="仿宋_GB2312"/>
          <w:sz w:val="32"/>
          <w:szCs w:val="32"/>
          <w:u w:val="none"/>
          <w:lang w:val="en-US" w:eastAsia="zh-CN"/>
        </w:rPr>
        <w:t>0</w:t>
      </w:r>
      <w:r>
        <w:rPr>
          <w:rFonts w:eastAsia="仿宋_GB2312"/>
          <w:sz w:val="32"/>
          <w:szCs w:val="32"/>
          <w:u w:val="none"/>
        </w:rPr>
        <w:t>万元，占</w:t>
      </w:r>
      <w:r>
        <w:rPr>
          <w:rFonts w:hint="eastAsia" w:eastAsia="仿宋_GB2312"/>
          <w:sz w:val="32"/>
          <w:szCs w:val="32"/>
          <w:u w:val="none"/>
          <w:lang w:val="en-US" w:eastAsia="zh-CN"/>
        </w:rPr>
        <w:t>0</w:t>
      </w:r>
      <w:r>
        <w:rPr>
          <w:rFonts w:eastAsia="仿宋_GB2312"/>
          <w:sz w:val="32"/>
          <w:szCs w:val="32"/>
          <w:u w:val="none"/>
        </w:rPr>
        <w:t>%；</w:t>
      </w:r>
    </w:p>
    <w:p w14:paraId="6BDE2553">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上年结转结余的单位资金</w:t>
      </w:r>
      <w:r>
        <w:rPr>
          <w:rFonts w:hint="eastAsia" w:eastAsia="仿宋_GB2312"/>
          <w:sz w:val="32"/>
          <w:szCs w:val="32"/>
          <w:u w:val="none"/>
          <w:lang w:val="en-US" w:eastAsia="zh-CN"/>
        </w:rPr>
        <w:t>0</w:t>
      </w:r>
      <w:r>
        <w:rPr>
          <w:rFonts w:eastAsia="仿宋_GB2312"/>
          <w:sz w:val="32"/>
          <w:szCs w:val="32"/>
          <w:u w:val="none"/>
        </w:rPr>
        <w:t>万元，占</w:t>
      </w:r>
      <w:r>
        <w:rPr>
          <w:rFonts w:hint="eastAsia" w:eastAsia="仿宋_GB2312"/>
          <w:sz w:val="32"/>
          <w:szCs w:val="32"/>
          <w:u w:val="none"/>
          <w:lang w:val="en-US" w:eastAsia="zh-CN"/>
        </w:rPr>
        <w:t>0</w:t>
      </w:r>
      <w:r>
        <w:rPr>
          <w:rFonts w:eastAsia="仿宋_GB2312"/>
          <w:sz w:val="32"/>
          <w:szCs w:val="32"/>
          <w:u w:val="none"/>
        </w:rPr>
        <w:t>%；</w:t>
      </w:r>
    </w:p>
    <w:p w14:paraId="6E641FB6">
      <w:pPr>
        <w:spacing w:line="600" w:lineRule="exact"/>
        <w:ind w:firstLine="640" w:firstLineChars="200"/>
        <w:outlineLvl w:val="0"/>
        <w:rPr>
          <w:rFonts w:eastAsia="黑体" w:cs="黑体"/>
          <w:sz w:val="32"/>
          <w:szCs w:val="36"/>
          <w:u w:val="none"/>
        </w:rPr>
      </w:pPr>
      <w:r>
        <w:rPr>
          <w:rFonts w:hint="eastAsia" w:eastAsia="黑体" w:cs="黑体"/>
          <w:sz w:val="32"/>
          <w:szCs w:val="36"/>
          <w:u w:val="none"/>
        </w:rPr>
        <w:t>三、支出预算情况说明</w:t>
      </w:r>
    </w:p>
    <w:p w14:paraId="37DF535D">
      <w:pPr>
        <w:pStyle w:val="8"/>
        <w:tabs>
          <w:tab w:val="left" w:pos="2671"/>
          <w:tab w:val="left" w:pos="5000"/>
          <w:tab w:val="left" w:pos="6190"/>
        </w:tabs>
        <w:spacing w:after="0" w:line="600" w:lineRule="exact"/>
        <w:ind w:firstLine="656" w:firstLineChars="200"/>
        <w:rPr>
          <w:rFonts w:eastAsia="仿宋_GB2312"/>
          <w:sz w:val="32"/>
          <w:szCs w:val="32"/>
          <w:u w:val="none"/>
        </w:rPr>
      </w:pPr>
      <w:r>
        <w:rPr>
          <w:rFonts w:hint="eastAsia" w:ascii="仿宋" w:hAnsi="仿宋" w:eastAsia="仿宋" w:cs="仿宋"/>
          <w:spacing w:val="9"/>
          <w:sz w:val="31"/>
          <w:szCs w:val="31"/>
          <w:u w:val="none"/>
          <w:lang w:eastAsia="zh-CN"/>
        </w:rPr>
        <w:t>包头市商务局部门</w:t>
      </w:r>
      <w:r>
        <w:rPr>
          <w:rFonts w:hint="eastAsia" w:eastAsia="仿宋_GB2312"/>
          <w:sz w:val="32"/>
          <w:szCs w:val="32"/>
          <w:u w:val="none"/>
          <w:lang w:val="en-US" w:eastAsia="zh-CN"/>
        </w:rPr>
        <w:t>2026</w:t>
      </w:r>
      <w:r>
        <w:rPr>
          <w:rFonts w:eastAsia="仿宋_GB2312"/>
          <w:sz w:val="32"/>
          <w:szCs w:val="32"/>
          <w:u w:val="none"/>
        </w:rPr>
        <w:t>年支出预算合计</w:t>
      </w:r>
      <w:r>
        <w:rPr>
          <w:rFonts w:hint="eastAsia" w:eastAsia="仿宋_GB2312"/>
          <w:sz w:val="32"/>
          <w:szCs w:val="32"/>
          <w:u w:val="none"/>
          <w:lang w:val="en-US" w:eastAsia="zh-CN"/>
        </w:rPr>
        <w:t>1402.68</w:t>
      </w:r>
      <w:r>
        <w:rPr>
          <w:rFonts w:eastAsia="仿宋_GB2312"/>
          <w:sz w:val="32"/>
          <w:szCs w:val="32"/>
          <w:u w:val="none"/>
        </w:rPr>
        <w:t>万元，其中：</w:t>
      </w:r>
    </w:p>
    <w:p w14:paraId="4CA7368F">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基本支出</w:t>
      </w:r>
      <w:r>
        <w:rPr>
          <w:rFonts w:hint="eastAsia" w:eastAsia="仿宋_GB2312"/>
          <w:sz w:val="32"/>
          <w:szCs w:val="32"/>
          <w:u w:val="none"/>
          <w:lang w:val="en-US" w:eastAsia="zh-CN"/>
        </w:rPr>
        <w:t>999.96</w:t>
      </w:r>
      <w:r>
        <w:rPr>
          <w:rFonts w:eastAsia="仿宋_GB2312"/>
          <w:sz w:val="32"/>
          <w:szCs w:val="32"/>
          <w:u w:val="none"/>
        </w:rPr>
        <w:t>万元，占</w:t>
      </w:r>
      <w:r>
        <w:rPr>
          <w:rFonts w:hint="eastAsia" w:eastAsia="仿宋_GB2312"/>
          <w:sz w:val="32"/>
          <w:szCs w:val="32"/>
          <w:u w:val="none"/>
          <w:lang w:val="en-US" w:eastAsia="zh-CN"/>
        </w:rPr>
        <w:t>71.29</w:t>
      </w:r>
      <w:r>
        <w:rPr>
          <w:rFonts w:eastAsia="仿宋_GB2312"/>
          <w:sz w:val="32"/>
          <w:szCs w:val="32"/>
          <w:u w:val="none"/>
        </w:rPr>
        <w:t>%；</w:t>
      </w:r>
    </w:p>
    <w:p w14:paraId="3DEF4048">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项目支出</w:t>
      </w:r>
      <w:r>
        <w:rPr>
          <w:rFonts w:hint="eastAsia" w:eastAsia="仿宋_GB2312"/>
          <w:sz w:val="32"/>
          <w:szCs w:val="32"/>
          <w:u w:val="none"/>
          <w:lang w:val="en-US" w:eastAsia="zh-CN"/>
        </w:rPr>
        <w:t>402.72</w:t>
      </w:r>
      <w:r>
        <w:rPr>
          <w:rFonts w:eastAsia="仿宋_GB2312"/>
          <w:sz w:val="32"/>
          <w:szCs w:val="32"/>
          <w:u w:val="none"/>
        </w:rPr>
        <w:t>万元，占</w:t>
      </w:r>
      <w:r>
        <w:rPr>
          <w:rFonts w:hint="eastAsia" w:eastAsia="仿宋_GB2312"/>
          <w:sz w:val="32"/>
          <w:szCs w:val="32"/>
          <w:u w:val="none"/>
          <w:lang w:val="en-US" w:eastAsia="zh-CN"/>
        </w:rPr>
        <w:t>28.71</w:t>
      </w:r>
      <w:r>
        <w:rPr>
          <w:rFonts w:eastAsia="仿宋_GB2312"/>
          <w:sz w:val="32"/>
          <w:szCs w:val="32"/>
          <w:u w:val="none"/>
        </w:rPr>
        <w:t>%；</w:t>
      </w:r>
    </w:p>
    <w:p w14:paraId="0677A853">
      <w:pPr>
        <w:pStyle w:val="8"/>
        <w:tabs>
          <w:tab w:val="left" w:pos="2671"/>
          <w:tab w:val="left" w:pos="5000"/>
          <w:tab w:val="left" w:pos="6190"/>
        </w:tabs>
        <w:spacing w:after="0" w:line="600" w:lineRule="exact"/>
        <w:ind w:firstLine="640" w:firstLineChars="200"/>
        <w:rPr>
          <w:rFonts w:ascii="仿宋" w:hAnsi="仿宋" w:eastAsia="仿宋" w:cs="仿宋"/>
          <w:sz w:val="32"/>
          <w:szCs w:val="32"/>
          <w:u w:val="none"/>
        </w:rPr>
      </w:pPr>
      <w:r>
        <w:rPr>
          <w:rFonts w:eastAsia="仿宋_GB2312"/>
          <w:sz w:val="32"/>
          <w:szCs w:val="32"/>
          <w:u w:val="none"/>
        </w:rPr>
        <w:t>事业单位经营支出</w:t>
      </w:r>
      <w:r>
        <w:rPr>
          <w:rFonts w:hint="eastAsia" w:eastAsia="仿宋_GB2312"/>
          <w:sz w:val="32"/>
          <w:szCs w:val="32"/>
          <w:u w:val="none"/>
          <w:lang w:val="en-US" w:eastAsia="zh-CN"/>
        </w:rPr>
        <w:t>0</w:t>
      </w:r>
      <w:r>
        <w:rPr>
          <w:rFonts w:eastAsia="仿宋_GB2312"/>
          <w:sz w:val="32"/>
          <w:szCs w:val="32"/>
          <w:u w:val="none"/>
        </w:rPr>
        <w:t>万元，占</w:t>
      </w:r>
      <w:r>
        <w:rPr>
          <w:rFonts w:hint="eastAsia" w:eastAsia="仿宋_GB2312"/>
          <w:sz w:val="32"/>
          <w:szCs w:val="32"/>
          <w:u w:val="none"/>
          <w:lang w:val="en-US" w:eastAsia="zh-CN"/>
        </w:rPr>
        <w:t>0</w:t>
      </w:r>
      <w:r>
        <w:rPr>
          <w:rFonts w:eastAsia="仿宋_GB2312"/>
          <w:sz w:val="32"/>
          <w:szCs w:val="32"/>
          <w:u w:val="none"/>
        </w:rPr>
        <w:t>%；</w:t>
      </w:r>
    </w:p>
    <w:p w14:paraId="168ECECC">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上缴上级支出</w:t>
      </w:r>
      <w:r>
        <w:rPr>
          <w:rFonts w:eastAsia="仿宋_GB2312"/>
          <w:sz w:val="32"/>
          <w:szCs w:val="32"/>
          <w:u w:val="none"/>
        </w:rPr>
        <w:tab/>
      </w:r>
      <w:r>
        <w:rPr>
          <w:rFonts w:hint="eastAsia" w:eastAsia="仿宋_GB2312"/>
          <w:sz w:val="32"/>
          <w:szCs w:val="32"/>
          <w:u w:val="none"/>
          <w:lang w:val="en-US" w:eastAsia="zh-CN"/>
        </w:rPr>
        <w:t>0</w:t>
      </w:r>
      <w:r>
        <w:rPr>
          <w:rFonts w:eastAsia="仿宋_GB2312"/>
          <w:sz w:val="32"/>
          <w:szCs w:val="32"/>
          <w:u w:val="none"/>
        </w:rPr>
        <w:t>万元，占</w:t>
      </w:r>
      <w:r>
        <w:rPr>
          <w:rFonts w:hint="eastAsia" w:eastAsia="仿宋_GB2312"/>
          <w:sz w:val="32"/>
          <w:szCs w:val="32"/>
          <w:u w:val="none"/>
          <w:lang w:val="en-US" w:eastAsia="zh-CN"/>
        </w:rPr>
        <w:t>0</w:t>
      </w:r>
      <w:r>
        <w:rPr>
          <w:rFonts w:eastAsia="仿宋_GB2312"/>
          <w:sz w:val="32"/>
          <w:szCs w:val="32"/>
          <w:u w:val="none"/>
        </w:rPr>
        <w:t>%；</w:t>
      </w:r>
    </w:p>
    <w:p w14:paraId="4466A0EE">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对附属单位补助支出</w:t>
      </w:r>
      <w:r>
        <w:rPr>
          <w:rFonts w:hint="eastAsia" w:eastAsia="仿宋_GB2312"/>
          <w:sz w:val="32"/>
          <w:szCs w:val="32"/>
          <w:u w:val="none"/>
          <w:lang w:val="en-US" w:eastAsia="zh-CN"/>
        </w:rPr>
        <w:t>0</w:t>
      </w:r>
      <w:r>
        <w:rPr>
          <w:rFonts w:eastAsia="仿宋_GB2312"/>
          <w:sz w:val="32"/>
          <w:szCs w:val="32"/>
          <w:u w:val="none"/>
        </w:rPr>
        <w:t>万元，占</w:t>
      </w:r>
      <w:r>
        <w:rPr>
          <w:rFonts w:hint="eastAsia" w:eastAsia="仿宋_GB2312"/>
          <w:sz w:val="32"/>
          <w:szCs w:val="32"/>
          <w:u w:val="none"/>
          <w:lang w:val="en-US" w:eastAsia="zh-CN"/>
        </w:rPr>
        <w:t>0</w:t>
      </w:r>
      <w:r>
        <w:rPr>
          <w:rFonts w:eastAsia="仿宋_GB2312"/>
          <w:sz w:val="32"/>
          <w:szCs w:val="32"/>
          <w:u w:val="none"/>
        </w:rPr>
        <w:t>%。</w:t>
      </w:r>
    </w:p>
    <w:p w14:paraId="0ACC0BA6">
      <w:pPr>
        <w:spacing w:line="600" w:lineRule="exact"/>
        <w:ind w:firstLine="640" w:firstLineChars="200"/>
        <w:outlineLvl w:val="0"/>
        <w:rPr>
          <w:rFonts w:eastAsia="黑体" w:cs="黑体"/>
          <w:sz w:val="32"/>
          <w:szCs w:val="36"/>
          <w:u w:val="none"/>
        </w:rPr>
      </w:pPr>
      <w:r>
        <w:rPr>
          <w:rFonts w:hint="eastAsia" w:eastAsia="黑体" w:cs="黑体"/>
          <w:sz w:val="32"/>
          <w:szCs w:val="36"/>
          <w:u w:val="none"/>
        </w:rPr>
        <w:t>四、财政拨款收支预算总体情况说明</w:t>
      </w:r>
    </w:p>
    <w:p w14:paraId="25379973">
      <w:pPr>
        <w:pStyle w:val="8"/>
        <w:pageBreakBefore w:val="0"/>
        <w:tabs>
          <w:tab w:val="left" w:pos="2671"/>
          <w:tab w:val="left" w:pos="5000"/>
          <w:tab w:val="left" w:pos="6190"/>
        </w:tabs>
        <w:kinsoku/>
        <w:wordWrap/>
        <w:overflowPunct/>
        <w:topLinePunct w:val="0"/>
        <w:bidi w:val="0"/>
        <w:spacing w:after="0" w:line="600" w:lineRule="exact"/>
        <w:ind w:firstLine="656" w:firstLineChars="200"/>
        <w:rPr>
          <w:rFonts w:ascii="仿宋" w:hAnsi="仿宋" w:eastAsia="仿宋" w:cs="仿宋"/>
          <w:sz w:val="32"/>
          <w:szCs w:val="32"/>
          <w:u w:val="none"/>
        </w:rPr>
      </w:pPr>
      <w:r>
        <w:rPr>
          <w:rFonts w:hint="eastAsia" w:ascii="仿宋" w:hAnsi="仿宋" w:eastAsia="仿宋" w:cs="仿宋"/>
          <w:spacing w:val="9"/>
          <w:sz w:val="31"/>
          <w:szCs w:val="31"/>
          <w:u w:val="none"/>
          <w:lang w:eastAsia="zh-CN"/>
        </w:rPr>
        <w:t>包头市商务局部门</w:t>
      </w:r>
      <w:r>
        <w:rPr>
          <w:rFonts w:hint="eastAsia" w:eastAsia="仿宋_GB2312"/>
          <w:sz w:val="32"/>
          <w:szCs w:val="32"/>
          <w:u w:val="none"/>
          <w:lang w:val="en-US" w:eastAsia="zh-CN"/>
        </w:rPr>
        <w:t>2026</w:t>
      </w:r>
      <w:r>
        <w:rPr>
          <w:rFonts w:eastAsia="仿宋_GB2312"/>
          <w:sz w:val="32"/>
          <w:szCs w:val="32"/>
          <w:u w:val="none"/>
        </w:rPr>
        <w:t>年度财政拨款收、支总预算</w:t>
      </w:r>
      <w:r>
        <w:rPr>
          <w:rFonts w:hint="eastAsia" w:eastAsia="仿宋_GB2312"/>
          <w:sz w:val="32"/>
          <w:szCs w:val="32"/>
          <w:u w:val="none"/>
          <w:lang w:val="en-US" w:eastAsia="zh-CN"/>
        </w:rPr>
        <w:t>1402.68</w:t>
      </w:r>
      <w:r>
        <w:rPr>
          <w:rFonts w:eastAsia="仿宋_GB2312"/>
          <w:sz w:val="32"/>
          <w:szCs w:val="32"/>
          <w:u w:val="none"/>
        </w:rPr>
        <w:t>万元。与上年相比，财政拨款收</w:t>
      </w:r>
      <w:r>
        <w:rPr>
          <w:rFonts w:eastAsia="仿宋_GB2312"/>
          <w:sz w:val="32"/>
          <w:szCs w:val="32"/>
          <w:highlight w:val="none"/>
          <w:u w:val="none"/>
        </w:rPr>
        <w:t>、支总计</w:t>
      </w:r>
      <w:r>
        <w:rPr>
          <w:rFonts w:hint="eastAsia" w:eastAsia="仿宋_GB2312"/>
          <w:sz w:val="32"/>
          <w:szCs w:val="32"/>
          <w:highlight w:val="none"/>
          <w:u w:val="none"/>
          <w:lang w:eastAsia="zh-CN"/>
        </w:rPr>
        <w:t>各</w:t>
      </w:r>
      <w:r>
        <w:rPr>
          <w:rFonts w:hint="eastAsia" w:ascii="仿宋_GB2312" w:hAnsi="仿宋_GB2312" w:eastAsia="仿宋_GB2312" w:cs="仿宋_GB2312"/>
          <w:sz w:val="32"/>
          <w:szCs w:val="32"/>
          <w:highlight w:val="none"/>
          <w:u w:val="none"/>
          <w:lang w:eastAsia="zh-CN"/>
        </w:rPr>
        <w:t>增加</w:t>
      </w:r>
      <w:r>
        <w:rPr>
          <w:rFonts w:hint="eastAsia" w:ascii="仿宋_GB2312" w:hAnsi="仿宋_GB2312" w:eastAsia="仿宋_GB2312" w:cs="仿宋_GB2312"/>
          <w:sz w:val="32"/>
          <w:szCs w:val="32"/>
          <w:highlight w:val="none"/>
          <w:u w:val="none"/>
          <w:lang w:val="en-US" w:eastAsia="zh-CN"/>
        </w:rPr>
        <w:t>12</w:t>
      </w:r>
      <w:r>
        <w:rPr>
          <w:rFonts w:hint="eastAsia" w:ascii="仿宋_GB2312" w:hAnsi="仿宋_GB2312" w:eastAsia="仿宋_GB2312" w:cs="仿宋_GB2312"/>
          <w:sz w:val="32"/>
          <w:szCs w:val="32"/>
          <w:u w:val="none"/>
          <w:lang w:val="en-US" w:eastAsia="zh-CN"/>
        </w:rPr>
        <w:t>6.88</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lang w:eastAsia="zh-CN"/>
        </w:rPr>
        <w:t>增加</w:t>
      </w:r>
      <w:r>
        <w:rPr>
          <w:rFonts w:hint="eastAsia" w:ascii="仿宋_GB2312" w:hAnsi="仿宋_GB2312" w:eastAsia="仿宋_GB2312" w:cs="仿宋_GB2312"/>
          <w:sz w:val="32"/>
          <w:szCs w:val="32"/>
          <w:u w:val="none"/>
          <w:lang w:val="en-US" w:eastAsia="zh-CN"/>
        </w:rPr>
        <w:t>9.95</w:t>
      </w:r>
      <w:r>
        <w:rPr>
          <w:rFonts w:hint="eastAsia" w:ascii="仿宋_GB2312" w:hAnsi="仿宋_GB2312" w:eastAsia="仿宋_GB2312" w:cs="仿宋_GB2312"/>
          <w:sz w:val="32"/>
          <w:szCs w:val="32"/>
          <w:u w:val="none"/>
        </w:rPr>
        <w:t>%</w:t>
      </w:r>
      <w:r>
        <w:rPr>
          <w:rFonts w:eastAsia="仿宋_GB2312"/>
          <w:sz w:val="32"/>
          <w:szCs w:val="32"/>
          <w:u w:val="none"/>
        </w:rPr>
        <w:t>。主要原因</w:t>
      </w:r>
      <w:r>
        <w:rPr>
          <w:rFonts w:hint="eastAsia" w:ascii="Times New Roman" w:hAnsi="Times New Roman" w:eastAsia="仿宋_GB2312" w:cs="Times New Roman"/>
          <w:kern w:val="2"/>
          <w:sz w:val="32"/>
          <w:szCs w:val="32"/>
          <w:highlight w:val="none"/>
          <w:u w:val="none"/>
          <w:lang w:val="en-US" w:eastAsia="zh-CN" w:bidi="ar-SA"/>
        </w:rPr>
        <w:t>一是</w:t>
      </w:r>
      <w:r>
        <w:rPr>
          <w:rFonts w:hint="eastAsia" w:eastAsia="仿宋_GB2312" w:cs="Times New Roman"/>
          <w:kern w:val="2"/>
          <w:sz w:val="32"/>
          <w:szCs w:val="32"/>
          <w:highlight w:val="none"/>
          <w:u w:val="none"/>
          <w:lang w:val="en-US" w:eastAsia="zh-CN" w:bidi="ar-SA"/>
        </w:rPr>
        <w:t>所属二级单位</w:t>
      </w:r>
      <w:r>
        <w:rPr>
          <w:rFonts w:hint="eastAsia" w:eastAsia="仿宋_GB2312" w:cs="Times New Roman"/>
          <w:sz w:val="32"/>
          <w:szCs w:val="32"/>
          <w:u w:val="none"/>
          <w:lang w:val="en-US" w:eastAsia="zh-CN"/>
        </w:rPr>
        <w:t>包头市口岸服务中心的“口岸通勤车服务”项目经费收入增加22.72万元、新增“开行中欧班列”经费收入100万元；二是包头市商务局本级调入石丽娜，</w:t>
      </w:r>
      <w:r>
        <w:rPr>
          <w:rFonts w:hint="eastAsia" w:eastAsia="仿宋_GB2312"/>
          <w:sz w:val="32"/>
          <w:szCs w:val="32"/>
          <w:u w:val="none"/>
          <w:lang w:val="en-US" w:eastAsia="zh-CN"/>
        </w:rPr>
        <w:t>在职人员职务职级晋升，人员经费及公用经费收入增加。</w:t>
      </w:r>
    </w:p>
    <w:p w14:paraId="6C8CD085">
      <w:pPr>
        <w:spacing w:line="600" w:lineRule="exact"/>
        <w:ind w:firstLine="640" w:firstLineChars="200"/>
        <w:outlineLvl w:val="0"/>
        <w:rPr>
          <w:rFonts w:eastAsia="黑体" w:cs="黑体"/>
          <w:sz w:val="32"/>
          <w:szCs w:val="36"/>
          <w:u w:val="none"/>
        </w:rPr>
      </w:pPr>
      <w:r>
        <w:rPr>
          <w:rFonts w:hint="eastAsia" w:eastAsia="黑体" w:cs="黑体"/>
          <w:sz w:val="32"/>
          <w:szCs w:val="36"/>
          <w:u w:val="none"/>
        </w:rPr>
        <w:t>五、一般公共预算支出预算情况说明</w:t>
      </w:r>
    </w:p>
    <w:p w14:paraId="52FE2FA1">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包头市商务局部门</w:t>
      </w:r>
      <w:r>
        <w:rPr>
          <w:rFonts w:hint="eastAsia" w:ascii="Times New Roman" w:hAnsi="Times New Roman" w:eastAsia="仿宋_GB2312" w:cs="Times New Roman"/>
          <w:sz w:val="32"/>
          <w:szCs w:val="32"/>
          <w:u w:val="none"/>
          <w:lang w:val="en-US" w:eastAsia="zh-CN"/>
        </w:rPr>
        <w:t>202</w:t>
      </w:r>
      <w:r>
        <w:rPr>
          <w:rFonts w:hint="eastAsia" w:eastAsia="仿宋_GB2312" w:cs="Times New Roman"/>
          <w:sz w:val="32"/>
          <w:szCs w:val="32"/>
          <w:u w:val="none"/>
          <w:lang w:val="en-US" w:eastAsia="zh-CN"/>
        </w:rPr>
        <w:t>6</w:t>
      </w:r>
      <w:r>
        <w:rPr>
          <w:rFonts w:ascii="Times New Roman" w:hAnsi="Times New Roman" w:eastAsia="仿宋_GB2312" w:cs="Times New Roman"/>
          <w:sz w:val="32"/>
          <w:szCs w:val="32"/>
          <w:u w:val="none"/>
        </w:rPr>
        <w:t>年一般公共预算财政拨款支出预算</w:t>
      </w:r>
      <w:r>
        <w:rPr>
          <w:rFonts w:hint="eastAsia" w:eastAsia="仿宋_GB2312"/>
          <w:sz w:val="32"/>
          <w:szCs w:val="32"/>
          <w:u w:val="none"/>
          <w:lang w:val="en-US" w:eastAsia="zh-CN"/>
        </w:rPr>
        <w:t>1402.68</w:t>
      </w:r>
      <w:r>
        <w:rPr>
          <w:rFonts w:ascii="Times New Roman" w:hAnsi="Times New Roman" w:eastAsia="仿宋_GB2312" w:cs="Times New Roman"/>
          <w:sz w:val="32"/>
          <w:szCs w:val="32"/>
          <w:u w:val="none"/>
        </w:rPr>
        <w:t>万元，与上年相比</w:t>
      </w:r>
      <w:r>
        <w:rPr>
          <w:rFonts w:hint="eastAsia" w:ascii="仿宋_GB2312" w:hAnsi="仿宋_GB2312" w:eastAsia="仿宋_GB2312" w:cs="仿宋_GB2312"/>
          <w:sz w:val="32"/>
          <w:szCs w:val="32"/>
          <w:highlight w:val="none"/>
          <w:u w:val="none"/>
          <w:lang w:eastAsia="zh-CN"/>
        </w:rPr>
        <w:t>增加</w:t>
      </w:r>
      <w:r>
        <w:rPr>
          <w:rFonts w:hint="eastAsia" w:ascii="仿宋_GB2312" w:hAnsi="仿宋_GB2312" w:eastAsia="仿宋_GB2312" w:cs="仿宋_GB2312"/>
          <w:sz w:val="32"/>
          <w:szCs w:val="32"/>
          <w:highlight w:val="none"/>
          <w:u w:val="none"/>
          <w:lang w:val="en-US" w:eastAsia="zh-CN"/>
        </w:rPr>
        <w:t>12</w:t>
      </w:r>
      <w:r>
        <w:rPr>
          <w:rFonts w:hint="eastAsia" w:ascii="仿宋_GB2312" w:hAnsi="仿宋_GB2312" w:eastAsia="仿宋_GB2312" w:cs="仿宋_GB2312"/>
          <w:sz w:val="32"/>
          <w:szCs w:val="32"/>
          <w:u w:val="none"/>
          <w:lang w:val="en-US" w:eastAsia="zh-CN"/>
        </w:rPr>
        <w:t>6.88</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lang w:eastAsia="zh-CN"/>
        </w:rPr>
        <w:t>增加</w:t>
      </w:r>
      <w:r>
        <w:rPr>
          <w:rFonts w:hint="eastAsia" w:ascii="仿宋_GB2312" w:hAnsi="仿宋_GB2312" w:eastAsia="仿宋_GB2312" w:cs="仿宋_GB2312"/>
          <w:sz w:val="32"/>
          <w:szCs w:val="32"/>
          <w:u w:val="none"/>
          <w:lang w:val="en-US" w:eastAsia="zh-CN"/>
        </w:rPr>
        <w:t>9.95</w:t>
      </w:r>
      <w:r>
        <w:rPr>
          <w:rFonts w:hint="eastAsia" w:ascii="仿宋_GB2312" w:hAnsi="仿宋_GB2312" w:eastAsia="仿宋_GB2312" w:cs="仿宋_GB2312"/>
          <w:sz w:val="32"/>
          <w:szCs w:val="32"/>
          <w:u w:val="none"/>
        </w:rPr>
        <w:t>%</w:t>
      </w:r>
      <w:r>
        <w:rPr>
          <w:rFonts w:eastAsia="仿宋_GB2312"/>
          <w:sz w:val="32"/>
          <w:szCs w:val="32"/>
          <w:u w:val="none"/>
        </w:rPr>
        <w:t>。主要原因</w:t>
      </w:r>
      <w:r>
        <w:rPr>
          <w:rFonts w:hint="eastAsia" w:ascii="Times New Roman" w:hAnsi="Times New Roman" w:eastAsia="仿宋_GB2312" w:cs="Times New Roman"/>
          <w:kern w:val="2"/>
          <w:sz w:val="32"/>
          <w:szCs w:val="32"/>
          <w:highlight w:val="none"/>
          <w:u w:val="none"/>
          <w:lang w:val="en-US" w:eastAsia="zh-CN" w:bidi="ar-SA"/>
        </w:rPr>
        <w:t>一是</w:t>
      </w:r>
      <w:r>
        <w:rPr>
          <w:rFonts w:hint="eastAsia" w:eastAsia="仿宋_GB2312" w:cs="Times New Roman"/>
          <w:kern w:val="2"/>
          <w:sz w:val="32"/>
          <w:szCs w:val="32"/>
          <w:highlight w:val="none"/>
          <w:u w:val="none"/>
          <w:lang w:val="en-US" w:eastAsia="zh-CN" w:bidi="ar-SA"/>
        </w:rPr>
        <w:t>所属二级单位</w:t>
      </w:r>
      <w:r>
        <w:rPr>
          <w:rFonts w:hint="eastAsia" w:eastAsia="仿宋_GB2312" w:cs="Times New Roman"/>
          <w:sz w:val="32"/>
          <w:szCs w:val="32"/>
          <w:u w:val="none"/>
          <w:lang w:val="en-US" w:eastAsia="zh-CN"/>
        </w:rPr>
        <w:t>包头市口岸服务中心的“口岸通勤车服务”项目经费收入增加22.72万元、新增“开行中欧班列”经费收入100万元；二是包头市商务局本级调入石丽娜，</w:t>
      </w:r>
      <w:r>
        <w:rPr>
          <w:rFonts w:hint="eastAsia" w:eastAsia="仿宋_GB2312"/>
          <w:sz w:val="32"/>
          <w:szCs w:val="32"/>
          <w:u w:val="none"/>
          <w:lang w:val="en-US" w:eastAsia="zh-CN"/>
        </w:rPr>
        <w:t>在职人员职务职级晋升，人员经费及公用经费收入增加。</w:t>
      </w:r>
    </w:p>
    <w:p w14:paraId="074A504A">
      <w:pPr>
        <w:pStyle w:val="8"/>
        <w:numPr>
          <w:ilvl w:val="0"/>
          <w:numId w:val="4"/>
        </w:numPr>
        <w:tabs>
          <w:tab w:val="left" w:pos="4275"/>
        </w:tabs>
        <w:spacing w:after="0" w:line="600" w:lineRule="exact"/>
        <w:ind w:firstLine="643" w:firstLineChars="200"/>
        <w:rPr>
          <w:rFonts w:hint="eastAsia" w:ascii="楷体" w:hAnsi="楷体" w:eastAsia="楷体" w:cs="楷体"/>
          <w:b/>
          <w:bCs/>
          <w:sz w:val="32"/>
          <w:szCs w:val="32"/>
          <w:u w:val="none"/>
        </w:rPr>
      </w:pPr>
      <w:r>
        <w:rPr>
          <w:rFonts w:hint="eastAsia" w:ascii="楷体" w:hAnsi="楷体" w:eastAsia="楷体" w:cs="楷体"/>
          <w:b/>
          <w:bCs/>
          <w:sz w:val="32"/>
          <w:szCs w:val="32"/>
          <w:u w:val="none"/>
        </w:rPr>
        <w:t>一般公共服务（类）</w:t>
      </w:r>
    </w:p>
    <w:p w14:paraId="3C538C55">
      <w:pPr>
        <w:pStyle w:val="8"/>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一般公共服务类年初预算数</w:t>
      </w:r>
      <w:r>
        <w:rPr>
          <w:rFonts w:hint="eastAsia" w:eastAsia="仿宋_GB2312"/>
          <w:sz w:val="32"/>
          <w:szCs w:val="32"/>
          <w:highlight w:val="none"/>
          <w:u w:val="none"/>
          <w:lang w:val="en-US" w:eastAsia="zh-CN"/>
        </w:rPr>
        <w:t>1053.55</w:t>
      </w:r>
      <w:r>
        <w:rPr>
          <w:rFonts w:hint="eastAsia" w:ascii="Times New Roman" w:hAnsi="Times New Roman" w:eastAsia="仿宋_GB2312" w:cs="Times New Roman"/>
          <w:kern w:val="2"/>
          <w:sz w:val="32"/>
          <w:szCs w:val="32"/>
          <w:u w:val="none"/>
          <w:lang w:val="en-US" w:eastAsia="zh-CN" w:bidi="ar-SA"/>
        </w:rPr>
        <w:t>万元，与上年相比</w:t>
      </w:r>
      <w:r>
        <w:rPr>
          <w:rFonts w:hint="eastAsia" w:eastAsia="仿宋_GB2312" w:cs="Times New Roman"/>
          <w:kern w:val="2"/>
          <w:sz w:val="32"/>
          <w:szCs w:val="32"/>
          <w:u w:val="none"/>
          <w:lang w:val="en-US" w:eastAsia="zh-CN" w:bidi="ar-SA"/>
        </w:rPr>
        <w:t>增加96.64</w:t>
      </w:r>
      <w:r>
        <w:rPr>
          <w:rFonts w:hint="eastAsia" w:ascii="Times New Roman" w:hAnsi="Times New Roman" w:eastAsia="仿宋_GB2312" w:cs="Times New Roman"/>
          <w:kern w:val="2"/>
          <w:sz w:val="32"/>
          <w:szCs w:val="32"/>
          <w:u w:val="none"/>
          <w:lang w:val="en-US" w:eastAsia="zh-CN" w:bidi="ar-SA"/>
        </w:rPr>
        <w:t>万元，其中：</w:t>
      </w:r>
    </w:p>
    <w:p w14:paraId="798AB173">
      <w:pPr>
        <w:pStyle w:val="8"/>
        <w:tabs>
          <w:tab w:val="left" w:pos="1389"/>
          <w:tab w:val="left" w:pos="4911"/>
          <w:tab w:val="left" w:pos="5898"/>
        </w:tabs>
        <w:spacing w:after="0" w:line="600" w:lineRule="exact"/>
        <w:ind w:firstLine="640" w:firstLineChars="200"/>
        <w:jc w:val="both"/>
        <w:rPr>
          <w:rFonts w:ascii="Times New Roman" w:hAnsi="Times New Roman" w:eastAsia="仿宋_GB2312" w:cs="Times New Roman"/>
          <w:kern w:val="2"/>
          <w:sz w:val="32"/>
          <w:szCs w:val="32"/>
          <w:u w:val="none"/>
          <w:lang w:val="en-US" w:eastAsia="zh-CN" w:bidi="ar-SA"/>
        </w:rPr>
      </w:pPr>
      <w:r>
        <w:rPr>
          <w:rFonts w:hint="eastAsia" w:eastAsia="仿宋_GB2312" w:cs="Times New Roman"/>
          <w:sz w:val="32"/>
          <w:szCs w:val="32"/>
          <w:u w:val="none"/>
          <w:lang w:val="en-US" w:eastAsia="zh-CN"/>
        </w:rPr>
        <w:t>1</w:t>
      </w:r>
      <w:r>
        <w:rPr>
          <w:rFonts w:hint="eastAsia" w:ascii="Times New Roman" w:hAnsi="Times New Roman" w:eastAsia="仿宋_GB2312" w:cs="Times New Roman"/>
          <w:sz w:val="32"/>
          <w:szCs w:val="32"/>
          <w:u w:val="none"/>
          <w:lang w:val="en-US" w:eastAsia="zh-CN"/>
        </w:rPr>
        <w:t>.</w:t>
      </w:r>
      <w:r>
        <w:rPr>
          <w:rFonts w:ascii="Times New Roman" w:hAnsi="Times New Roman" w:eastAsia="仿宋_GB2312" w:cs="Times New Roman"/>
          <w:sz w:val="32"/>
          <w:szCs w:val="32"/>
          <w:u w:val="none"/>
        </w:rPr>
        <w:t>商贸事务（款）行政运行（项）：年初预算</w:t>
      </w:r>
      <w:r>
        <w:rPr>
          <w:rFonts w:hint="eastAsia" w:eastAsia="仿宋_GB2312" w:cs="Times New Roman"/>
          <w:sz w:val="32"/>
          <w:szCs w:val="32"/>
          <w:u w:val="none"/>
          <w:lang w:val="en-US" w:eastAsia="zh-CN"/>
        </w:rPr>
        <w:t>409.25</w:t>
      </w:r>
      <w:r>
        <w:rPr>
          <w:rFonts w:ascii="Times New Roman" w:hAnsi="Times New Roman" w:eastAsia="仿宋_GB2312" w:cs="Times New Roman"/>
          <w:sz w:val="32"/>
          <w:szCs w:val="32"/>
          <w:u w:val="none"/>
        </w:rPr>
        <w:t>万元，与上年相比</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20.17</w:t>
      </w:r>
      <w:r>
        <w:rPr>
          <w:rFonts w:ascii="Times New Roman" w:hAnsi="Times New Roman" w:eastAsia="仿宋_GB2312" w:cs="Times New Roman"/>
          <w:sz w:val="32"/>
          <w:szCs w:val="32"/>
          <w:u w:val="none"/>
        </w:rPr>
        <w:t>万元，</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5.18</w:t>
      </w:r>
      <w:r>
        <w:rPr>
          <w:rFonts w:ascii="Times New Roman" w:hAnsi="Times New Roman" w:eastAsia="仿宋_GB2312" w:cs="Times New Roman"/>
          <w:sz w:val="32"/>
          <w:szCs w:val="32"/>
          <w:u w:val="none"/>
        </w:rPr>
        <w:t>%。变动原因：</w:t>
      </w:r>
      <w:r>
        <w:rPr>
          <w:rFonts w:hint="eastAsia" w:eastAsia="仿宋_GB2312"/>
          <w:sz w:val="32"/>
          <w:szCs w:val="32"/>
          <w:highlight w:val="none"/>
          <w:u w:val="none"/>
          <w:lang w:eastAsia="zh-CN"/>
        </w:rPr>
        <w:t>一</w:t>
      </w:r>
      <w:r>
        <w:rPr>
          <w:rFonts w:eastAsia="仿宋_GB2312"/>
          <w:sz w:val="32"/>
          <w:szCs w:val="32"/>
          <w:u w:val="none"/>
        </w:rPr>
        <w:t>是</w:t>
      </w:r>
      <w:r>
        <w:rPr>
          <w:rFonts w:hint="eastAsia" w:eastAsia="仿宋_GB2312"/>
          <w:sz w:val="32"/>
          <w:szCs w:val="32"/>
          <w:u w:val="none"/>
          <w:lang w:eastAsia="zh-CN"/>
        </w:rPr>
        <w:t>调入石丽娜；二是</w:t>
      </w:r>
      <w:r>
        <w:rPr>
          <w:rFonts w:hint="eastAsia" w:eastAsia="仿宋_GB2312"/>
          <w:sz w:val="32"/>
          <w:szCs w:val="32"/>
          <w:u w:val="none"/>
          <w:lang w:val="en-US" w:eastAsia="zh-CN"/>
        </w:rPr>
        <w:t>本年在职人员职务职级晋升，人员及公用经费收入增加。</w:t>
      </w:r>
    </w:p>
    <w:p w14:paraId="27D84DA4">
      <w:pPr>
        <w:pStyle w:val="8"/>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eastAsia="仿宋_GB2312" w:cs="Times New Roman"/>
          <w:sz w:val="32"/>
          <w:szCs w:val="32"/>
          <w:u w:val="none"/>
          <w:lang w:val="en-US" w:eastAsia="zh-CN"/>
        </w:rPr>
        <w:t>2</w:t>
      </w:r>
      <w:r>
        <w:rPr>
          <w:rFonts w:ascii="Times New Roman" w:hAnsi="Times New Roman" w:eastAsia="仿宋_GB2312" w:cs="Times New Roman"/>
          <w:sz w:val="32"/>
          <w:szCs w:val="32"/>
          <w:u w:val="none"/>
        </w:rPr>
        <w:t>.商贸事务（款）事业运行（项）：年初预算</w:t>
      </w:r>
      <w:r>
        <w:rPr>
          <w:rFonts w:hint="eastAsia" w:eastAsia="仿宋_GB2312" w:cs="Times New Roman"/>
          <w:sz w:val="32"/>
          <w:szCs w:val="32"/>
          <w:u w:val="none"/>
          <w:lang w:val="en-US" w:eastAsia="zh-CN"/>
        </w:rPr>
        <w:t>341.58</w:t>
      </w:r>
      <w:r>
        <w:rPr>
          <w:rFonts w:hint="eastAsia" w:ascii="Times New Roman" w:hAnsi="Times New Roman" w:eastAsia="仿宋_GB2312" w:cs="Times New Roman"/>
          <w:sz w:val="32"/>
          <w:szCs w:val="32"/>
          <w:u w:val="none"/>
          <w:lang w:val="en-US" w:eastAsia="zh-CN"/>
        </w:rPr>
        <w:t>万元</w:t>
      </w:r>
      <w:r>
        <w:rPr>
          <w:rFonts w:ascii="Times New Roman" w:hAnsi="Times New Roman" w:eastAsia="仿宋_GB2312" w:cs="Times New Roman"/>
          <w:sz w:val="32"/>
          <w:szCs w:val="32"/>
          <w:u w:val="none"/>
        </w:rPr>
        <w:t>。与上年相比</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38.76</w:t>
      </w:r>
      <w:r>
        <w:rPr>
          <w:rFonts w:ascii="Times New Roman" w:hAnsi="Times New Roman" w:eastAsia="仿宋_GB2312" w:cs="Times New Roman"/>
          <w:sz w:val="32"/>
          <w:szCs w:val="32"/>
          <w:u w:val="none"/>
        </w:rPr>
        <w:t>万元，</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5.18</w:t>
      </w:r>
      <w:r>
        <w:rPr>
          <w:rFonts w:ascii="Times New Roman" w:hAnsi="Times New Roman" w:eastAsia="仿宋_GB2312" w:cs="Times New Roman"/>
          <w:sz w:val="32"/>
          <w:szCs w:val="32"/>
          <w:u w:val="none"/>
        </w:rPr>
        <w:t>%。变动原因：</w:t>
      </w:r>
      <w:r>
        <w:rPr>
          <w:rFonts w:hint="eastAsia" w:eastAsia="仿宋_GB2312" w:cs="Times New Roman"/>
          <w:kern w:val="2"/>
          <w:sz w:val="32"/>
          <w:szCs w:val="32"/>
          <w:highlight w:val="none"/>
          <w:u w:val="none"/>
          <w:lang w:val="en-US" w:eastAsia="zh-CN" w:bidi="ar-SA"/>
        </w:rPr>
        <w:t>所属二级事业单位新增在职人员，职务职级晋升，人员及公用经费相比上年增加。</w:t>
      </w:r>
    </w:p>
    <w:p w14:paraId="73D93EB7">
      <w:pPr>
        <w:pStyle w:val="8"/>
        <w:tabs>
          <w:tab w:val="left" w:pos="2671"/>
          <w:tab w:val="left" w:pos="5000"/>
          <w:tab w:val="left" w:pos="6190"/>
        </w:tabs>
        <w:spacing w:after="0" w:line="600" w:lineRule="exact"/>
        <w:ind w:firstLine="640" w:firstLineChars="200"/>
        <w:jc w:val="both"/>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5.</w:t>
      </w:r>
      <w:r>
        <w:rPr>
          <w:rFonts w:ascii="Times New Roman" w:hAnsi="Times New Roman" w:eastAsia="仿宋_GB2312" w:cs="Times New Roman"/>
          <w:sz w:val="32"/>
          <w:szCs w:val="32"/>
          <w:u w:val="none"/>
        </w:rPr>
        <w:t>商贸事务（款）其他商贸事务支出（项）：年初预算</w:t>
      </w:r>
      <w:r>
        <w:rPr>
          <w:rFonts w:hint="eastAsia" w:eastAsia="仿宋_GB2312" w:cs="Times New Roman"/>
          <w:sz w:val="32"/>
          <w:szCs w:val="32"/>
          <w:u w:val="none"/>
          <w:lang w:val="en-US" w:eastAsia="zh-CN"/>
        </w:rPr>
        <w:t>302.72</w:t>
      </w:r>
      <w:r>
        <w:rPr>
          <w:rFonts w:hint="eastAsia" w:ascii="Times New Roman" w:hAnsi="Times New Roman" w:eastAsia="仿宋_GB2312" w:cs="Times New Roman"/>
          <w:sz w:val="32"/>
          <w:szCs w:val="32"/>
          <w:u w:val="none"/>
          <w:lang w:val="en-US" w:eastAsia="zh-CN"/>
        </w:rPr>
        <w:t>万</w:t>
      </w:r>
      <w:r>
        <w:rPr>
          <w:rFonts w:ascii="Times New Roman" w:hAnsi="Times New Roman" w:eastAsia="仿宋_GB2312" w:cs="Times New Roman"/>
          <w:sz w:val="32"/>
          <w:szCs w:val="32"/>
          <w:u w:val="none"/>
        </w:rPr>
        <w:t>元。 与上年相比</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37.72</w:t>
      </w:r>
      <w:r>
        <w:rPr>
          <w:rFonts w:ascii="Times New Roman" w:hAnsi="Times New Roman" w:eastAsia="仿宋_GB2312" w:cs="Times New Roman"/>
          <w:sz w:val="32"/>
          <w:szCs w:val="32"/>
          <w:u w:val="none"/>
        </w:rPr>
        <w:t>万元，</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14.23</w:t>
      </w:r>
      <w:r>
        <w:rPr>
          <w:rFonts w:ascii="Times New Roman" w:hAnsi="Times New Roman" w:eastAsia="仿宋_GB2312" w:cs="Times New Roman"/>
          <w:sz w:val="32"/>
          <w:szCs w:val="32"/>
          <w:u w:val="none"/>
        </w:rPr>
        <w:t>%。变动原因：</w:t>
      </w:r>
      <w:r>
        <w:rPr>
          <w:rFonts w:hint="eastAsia" w:eastAsia="仿宋_GB2312" w:cs="Times New Roman"/>
          <w:kern w:val="2"/>
          <w:sz w:val="32"/>
          <w:szCs w:val="32"/>
          <w:u w:val="none"/>
          <w:lang w:val="en-US" w:eastAsia="zh-CN" w:bidi="ar-SA"/>
        </w:rPr>
        <w:t>一是包头市商务局本级新增“</w:t>
      </w:r>
      <w:r>
        <w:rPr>
          <w:rFonts w:hint="eastAsia" w:ascii="Times New Roman" w:hAnsi="Times New Roman" w:eastAsia="仿宋_GB2312" w:cs="Times New Roman"/>
          <w:kern w:val="2"/>
          <w:sz w:val="32"/>
          <w:szCs w:val="32"/>
          <w:u w:val="none"/>
          <w:lang w:val="en-US" w:eastAsia="zh-CN" w:bidi="ar-SA"/>
        </w:rPr>
        <w:t>商务领域公众号运维宣传费</w:t>
      </w:r>
      <w:r>
        <w:rPr>
          <w:rFonts w:hint="eastAsia" w:eastAsia="仿宋_GB2312" w:cs="Times New Roman"/>
          <w:kern w:val="2"/>
          <w:sz w:val="32"/>
          <w:szCs w:val="32"/>
          <w:u w:val="none"/>
          <w:lang w:val="en-US" w:eastAsia="zh-CN" w:bidi="ar-SA"/>
        </w:rPr>
        <w:t>”项目经费收入15万元；二是</w:t>
      </w:r>
      <w:r>
        <w:rPr>
          <w:rFonts w:hint="eastAsia" w:eastAsia="仿宋_GB2312" w:cs="Times New Roman"/>
          <w:kern w:val="2"/>
          <w:sz w:val="32"/>
          <w:szCs w:val="32"/>
          <w:highlight w:val="none"/>
          <w:u w:val="none"/>
          <w:lang w:val="en-US" w:eastAsia="zh-CN" w:bidi="ar-SA"/>
        </w:rPr>
        <w:t>所属二级单位</w:t>
      </w:r>
      <w:r>
        <w:rPr>
          <w:rFonts w:hint="eastAsia" w:eastAsia="仿宋_GB2312" w:cs="Times New Roman"/>
          <w:sz w:val="32"/>
          <w:szCs w:val="32"/>
          <w:u w:val="none"/>
          <w:lang w:val="en-US" w:eastAsia="zh-CN"/>
        </w:rPr>
        <w:t>包头市口岸服务中心的“口岸通勤车服务”项目经费收入增加22.72万元</w:t>
      </w:r>
      <w:r>
        <w:rPr>
          <w:rFonts w:hint="eastAsia" w:eastAsia="仿宋_GB2312" w:cs="Times New Roman"/>
          <w:kern w:val="2"/>
          <w:sz w:val="32"/>
          <w:szCs w:val="32"/>
          <w:u w:val="none"/>
          <w:lang w:val="en-US" w:eastAsia="zh-CN" w:bidi="ar-SA"/>
        </w:rPr>
        <w:t>。</w:t>
      </w:r>
    </w:p>
    <w:p w14:paraId="76D0DF6D">
      <w:pPr>
        <w:pStyle w:val="8"/>
        <w:tabs>
          <w:tab w:val="left" w:pos="4275"/>
        </w:tabs>
        <w:spacing w:after="0" w:line="600" w:lineRule="exact"/>
        <w:ind w:firstLine="643" w:firstLineChars="200"/>
        <w:rPr>
          <w:rFonts w:hint="eastAsia" w:ascii="楷体" w:hAnsi="楷体" w:eastAsia="楷体" w:cs="楷体"/>
          <w:b/>
          <w:bCs/>
          <w:sz w:val="32"/>
          <w:szCs w:val="32"/>
          <w:u w:val="none"/>
        </w:rPr>
      </w:pPr>
      <w:r>
        <w:rPr>
          <w:rFonts w:hint="eastAsia" w:ascii="楷体" w:hAnsi="楷体" w:eastAsia="楷体" w:cs="楷体"/>
          <w:b/>
          <w:bCs/>
          <w:sz w:val="32"/>
          <w:szCs w:val="32"/>
          <w:u w:val="none"/>
        </w:rPr>
        <w:t>（二）社会保障和就业支出（类）</w:t>
      </w:r>
    </w:p>
    <w:p w14:paraId="514DB172">
      <w:pPr>
        <w:pStyle w:val="8"/>
        <w:tabs>
          <w:tab w:val="left" w:pos="2671"/>
          <w:tab w:val="left" w:pos="5000"/>
          <w:tab w:val="left" w:pos="6190"/>
        </w:tabs>
        <w:spacing w:after="0"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社会保障和就业支出类年初预算数</w:t>
      </w:r>
      <w:r>
        <w:rPr>
          <w:rFonts w:hint="eastAsia" w:eastAsia="仿宋_GB2312" w:cs="Times New Roman"/>
          <w:sz w:val="32"/>
          <w:szCs w:val="32"/>
          <w:u w:val="none"/>
          <w:lang w:val="en-US" w:eastAsia="zh-CN"/>
        </w:rPr>
        <w:t>142.03</w:t>
      </w:r>
      <w:r>
        <w:rPr>
          <w:rFonts w:hint="eastAsia" w:ascii="Times New Roman" w:hAnsi="Times New Roman" w:eastAsia="仿宋_GB2312" w:cs="Times New Roman"/>
          <w:kern w:val="2"/>
          <w:sz w:val="32"/>
          <w:szCs w:val="32"/>
          <w:u w:val="none"/>
          <w:lang w:val="en-US" w:eastAsia="zh-CN" w:bidi="ar-SA"/>
        </w:rPr>
        <w:t>万元，与上年相比</w:t>
      </w:r>
      <w:r>
        <w:rPr>
          <w:rFonts w:hint="eastAsia" w:eastAsia="仿宋_GB2312" w:cs="Times New Roman"/>
          <w:kern w:val="2"/>
          <w:sz w:val="32"/>
          <w:szCs w:val="32"/>
          <w:u w:val="none"/>
          <w:lang w:val="en-US" w:eastAsia="zh-CN" w:bidi="ar-SA"/>
        </w:rPr>
        <w:t>增加</w:t>
      </w:r>
      <w:r>
        <w:rPr>
          <w:rFonts w:hint="eastAsia" w:eastAsia="仿宋_GB2312" w:cs="Times New Roman"/>
          <w:sz w:val="32"/>
          <w:szCs w:val="32"/>
          <w:u w:val="none"/>
          <w:lang w:val="en-US" w:eastAsia="zh-CN"/>
        </w:rPr>
        <w:t>11.51</w:t>
      </w:r>
      <w:r>
        <w:rPr>
          <w:rFonts w:hint="eastAsia" w:ascii="Times New Roman" w:hAnsi="Times New Roman" w:eastAsia="仿宋_GB2312" w:cs="Times New Roman"/>
          <w:kern w:val="2"/>
          <w:sz w:val="32"/>
          <w:szCs w:val="32"/>
          <w:u w:val="none"/>
          <w:lang w:val="en-US" w:eastAsia="zh-CN" w:bidi="ar-SA"/>
        </w:rPr>
        <w:t>万元，其中：</w:t>
      </w:r>
    </w:p>
    <w:p w14:paraId="621036A0">
      <w:pPr>
        <w:pStyle w:val="8"/>
        <w:numPr>
          <w:ilvl w:val="0"/>
          <w:numId w:val="5"/>
        </w:numPr>
        <w:tabs>
          <w:tab w:val="left" w:pos="2671"/>
          <w:tab w:val="left" w:pos="5000"/>
          <w:tab w:val="left" w:pos="6190"/>
        </w:tabs>
        <w:spacing w:after="0" w:line="600" w:lineRule="exact"/>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行政事业单位养老支出（款）行政单位离退休（项）：年初预算</w:t>
      </w:r>
      <w:r>
        <w:rPr>
          <w:rFonts w:hint="eastAsia" w:eastAsia="仿宋_GB2312" w:cs="Times New Roman"/>
          <w:sz w:val="32"/>
          <w:szCs w:val="32"/>
          <w:u w:val="none"/>
          <w:lang w:val="en-US" w:eastAsia="zh-CN"/>
        </w:rPr>
        <w:t>51.95</w:t>
      </w:r>
      <w:r>
        <w:rPr>
          <w:rFonts w:ascii="Times New Roman" w:hAnsi="Times New Roman" w:eastAsia="仿宋_GB2312" w:cs="Times New Roman"/>
          <w:sz w:val="32"/>
          <w:szCs w:val="32"/>
          <w:u w:val="none"/>
        </w:rPr>
        <w:t>万元。与上年相比</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2.65</w:t>
      </w:r>
      <w:r>
        <w:rPr>
          <w:rFonts w:ascii="Times New Roman" w:hAnsi="Times New Roman" w:eastAsia="仿宋_GB2312" w:cs="Times New Roman"/>
          <w:sz w:val="32"/>
          <w:szCs w:val="32"/>
          <w:u w:val="none"/>
        </w:rPr>
        <w:t>万元，</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5.37</w:t>
      </w:r>
      <w:r>
        <w:rPr>
          <w:rFonts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一</w:t>
      </w:r>
      <w:r>
        <w:rPr>
          <w:rFonts w:hint="default" w:ascii="Times New Roman" w:hAnsi="Times New Roman" w:eastAsia="仿宋_GB2312" w:cs="Times New Roman"/>
          <w:sz w:val="32"/>
          <w:szCs w:val="32"/>
          <w:u w:val="none"/>
        </w:rPr>
        <w:t>是</w:t>
      </w:r>
      <w:r>
        <w:rPr>
          <w:rFonts w:hint="eastAsia" w:eastAsia="仿宋_GB2312" w:cs="Times New Roman"/>
          <w:sz w:val="32"/>
          <w:szCs w:val="32"/>
          <w:highlight w:val="none"/>
          <w:u w:val="none"/>
          <w:lang w:eastAsia="zh-CN"/>
        </w:rPr>
        <w:t>退休人员地方补贴由社保代发调整为从本单位发放</w:t>
      </w:r>
      <w:r>
        <w:rPr>
          <w:rFonts w:hint="eastAsia" w:eastAsia="仿宋_GB2312" w:cs="Times New Roman"/>
          <w:sz w:val="32"/>
          <w:szCs w:val="32"/>
          <w:u w:val="none"/>
          <w:lang w:eastAsia="zh-CN"/>
        </w:rPr>
        <w:t>；二是增加退休人员李靖。</w:t>
      </w:r>
    </w:p>
    <w:p w14:paraId="64473460">
      <w:pPr>
        <w:pStyle w:val="8"/>
        <w:numPr>
          <w:ilvl w:val="0"/>
          <w:numId w:val="5"/>
        </w:numPr>
        <w:tabs>
          <w:tab w:val="left" w:pos="2671"/>
          <w:tab w:val="left" w:pos="5000"/>
          <w:tab w:val="left" w:pos="6190"/>
        </w:tabs>
        <w:spacing w:after="0" w:line="600" w:lineRule="exact"/>
        <w:ind w:firstLine="640" w:firstLineChars="200"/>
        <w:rPr>
          <w:rFonts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行政事业单位养老支出（款）事业单位离退休（项）。年初预算</w:t>
      </w:r>
      <w:r>
        <w:rPr>
          <w:rFonts w:hint="eastAsia" w:eastAsia="仿宋_GB2312" w:cs="Times New Roman"/>
          <w:sz w:val="32"/>
          <w:szCs w:val="32"/>
          <w:u w:val="none"/>
          <w:lang w:val="en-US" w:eastAsia="zh-CN"/>
        </w:rPr>
        <w:t>4.57</w:t>
      </w:r>
      <w:r>
        <w:rPr>
          <w:rFonts w:hint="default" w:ascii="Times New Roman" w:hAnsi="Times New Roman" w:eastAsia="仿宋_GB2312" w:cs="Times New Roman"/>
          <w:sz w:val="32"/>
          <w:szCs w:val="32"/>
          <w:u w:val="none"/>
        </w:rPr>
        <w:t>万元，与上年相比</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1.68</w:t>
      </w:r>
      <w:r>
        <w:rPr>
          <w:rFonts w:ascii="Times New Roman" w:hAnsi="Times New Roman" w:eastAsia="仿宋_GB2312" w:cs="Times New Roman"/>
          <w:sz w:val="32"/>
          <w:szCs w:val="32"/>
          <w:u w:val="none"/>
        </w:rPr>
        <w:t>万元，</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58.03</w:t>
      </w:r>
      <w:r>
        <w:rPr>
          <w:rFonts w:hint="default" w:ascii="Times New Roman" w:hAnsi="Times New Roman" w:eastAsia="仿宋_GB2312" w:cs="Times New Roman"/>
          <w:sz w:val="32"/>
          <w:szCs w:val="32"/>
          <w:u w:val="none"/>
        </w:rPr>
        <w:t>%。变动原因：</w:t>
      </w:r>
      <w:r>
        <w:rPr>
          <w:rFonts w:hint="eastAsia" w:eastAsia="仿宋_GB2312" w:cs="Times New Roman"/>
          <w:sz w:val="32"/>
          <w:szCs w:val="32"/>
          <w:highlight w:val="none"/>
          <w:u w:val="none"/>
          <w:lang w:eastAsia="zh-CN"/>
        </w:rPr>
        <w:t>退休人员地方补贴由社保代发调整为从本单位发放。</w:t>
      </w:r>
    </w:p>
    <w:p w14:paraId="6E9C3B96">
      <w:pPr>
        <w:pStyle w:val="8"/>
        <w:numPr>
          <w:ilvl w:val="0"/>
          <w:numId w:val="5"/>
        </w:numPr>
        <w:tabs>
          <w:tab w:val="left" w:pos="2671"/>
          <w:tab w:val="left" w:pos="5000"/>
          <w:tab w:val="left" w:pos="6190"/>
        </w:tabs>
        <w:spacing w:after="0" w:line="600" w:lineRule="exact"/>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行政事业单位养老支出（款）机关事业单位基本养老保险缴费支出（项）：年初预算</w:t>
      </w:r>
      <w:r>
        <w:rPr>
          <w:rFonts w:hint="eastAsia" w:eastAsia="仿宋_GB2312" w:cs="Times New Roman"/>
          <w:sz w:val="32"/>
          <w:szCs w:val="32"/>
          <w:u w:val="none"/>
          <w:lang w:val="en-US" w:eastAsia="zh-CN"/>
        </w:rPr>
        <w:t>85.51</w:t>
      </w:r>
      <w:r>
        <w:rPr>
          <w:rFonts w:ascii="Times New Roman" w:hAnsi="Times New Roman" w:eastAsia="仿宋_GB2312" w:cs="Times New Roman"/>
          <w:sz w:val="32"/>
          <w:szCs w:val="32"/>
          <w:u w:val="none"/>
        </w:rPr>
        <w:t>万元。与上年相比</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7.17</w:t>
      </w:r>
      <w:r>
        <w:rPr>
          <w:rFonts w:ascii="Times New Roman" w:hAnsi="Times New Roman" w:eastAsia="仿宋_GB2312" w:cs="Times New Roman"/>
          <w:sz w:val="32"/>
          <w:szCs w:val="32"/>
          <w:u w:val="none"/>
        </w:rPr>
        <w:t>万元，</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9.</w:t>
      </w:r>
    </w:p>
    <w:p w14:paraId="1EC52877">
      <w:pPr>
        <w:pStyle w:val="8"/>
        <w:numPr>
          <w:ilvl w:val="0"/>
          <w:numId w:val="0"/>
        </w:numPr>
        <w:tabs>
          <w:tab w:val="left" w:pos="2671"/>
          <w:tab w:val="left" w:pos="5000"/>
          <w:tab w:val="left" w:pos="6190"/>
        </w:tabs>
        <w:spacing w:after="0" w:line="600" w:lineRule="exact"/>
        <w:rPr>
          <w:rFonts w:ascii="Times New Roman" w:hAnsi="Times New Roman" w:eastAsia="仿宋_GB2312" w:cs="Times New Roman"/>
          <w:sz w:val="32"/>
          <w:szCs w:val="32"/>
          <w:u w:val="none"/>
        </w:rPr>
      </w:pPr>
      <w:r>
        <w:rPr>
          <w:rFonts w:hint="eastAsia" w:eastAsia="仿宋_GB2312" w:cs="Times New Roman"/>
          <w:sz w:val="32"/>
          <w:szCs w:val="32"/>
          <w:u w:val="none"/>
          <w:lang w:val="en-US" w:eastAsia="zh-CN"/>
        </w:rPr>
        <w:t>16</w:t>
      </w:r>
      <w:r>
        <w:rPr>
          <w:rFonts w:ascii="Times New Roman" w:hAnsi="Times New Roman" w:eastAsia="仿宋_GB2312" w:cs="Times New Roman"/>
          <w:sz w:val="32"/>
          <w:szCs w:val="32"/>
          <w:u w:val="none"/>
        </w:rPr>
        <w:t>%。变动原因：</w:t>
      </w:r>
      <w:r>
        <w:rPr>
          <w:rFonts w:hint="eastAsia" w:eastAsia="仿宋_GB2312"/>
          <w:sz w:val="32"/>
          <w:szCs w:val="32"/>
          <w:highlight w:val="none"/>
          <w:u w:val="none"/>
          <w:lang w:eastAsia="zh-CN"/>
        </w:rPr>
        <w:t>一</w:t>
      </w:r>
      <w:r>
        <w:rPr>
          <w:rFonts w:eastAsia="仿宋_GB2312"/>
          <w:sz w:val="32"/>
          <w:szCs w:val="32"/>
          <w:u w:val="none"/>
        </w:rPr>
        <w:t>是</w:t>
      </w:r>
      <w:r>
        <w:rPr>
          <w:rFonts w:hint="eastAsia" w:eastAsia="仿宋_GB2312"/>
          <w:sz w:val="32"/>
          <w:szCs w:val="32"/>
          <w:u w:val="none"/>
          <w:lang w:eastAsia="zh-CN"/>
        </w:rPr>
        <w:t>调入石丽娜；二是</w:t>
      </w:r>
      <w:r>
        <w:rPr>
          <w:rFonts w:hint="eastAsia" w:eastAsia="仿宋_GB2312"/>
          <w:sz w:val="32"/>
          <w:szCs w:val="32"/>
          <w:u w:val="none"/>
          <w:lang w:val="en-US" w:eastAsia="zh-CN"/>
        </w:rPr>
        <w:t>本年在职人员职务职级晋升，调增养老保险费缴费基数。</w:t>
      </w:r>
    </w:p>
    <w:p w14:paraId="6705B583">
      <w:pPr>
        <w:pStyle w:val="8"/>
        <w:numPr>
          <w:ilvl w:val="0"/>
          <w:numId w:val="0"/>
        </w:numPr>
        <w:tabs>
          <w:tab w:val="left" w:pos="4275"/>
        </w:tabs>
        <w:spacing w:after="0" w:line="600" w:lineRule="exact"/>
        <w:ind w:left="0" w:leftChars="0" w:firstLine="643" w:firstLineChars="200"/>
        <w:rPr>
          <w:rFonts w:hint="eastAsia" w:ascii="楷体" w:hAnsi="楷体" w:eastAsia="楷体" w:cs="楷体"/>
          <w:b/>
          <w:bCs/>
          <w:sz w:val="32"/>
          <w:szCs w:val="32"/>
          <w:u w:val="none"/>
        </w:rPr>
      </w:pPr>
      <w:r>
        <w:rPr>
          <w:rFonts w:hint="eastAsia" w:ascii="楷体" w:hAnsi="楷体" w:eastAsia="楷体" w:cs="楷体"/>
          <w:b/>
          <w:bCs/>
          <w:kern w:val="2"/>
          <w:sz w:val="32"/>
          <w:szCs w:val="32"/>
          <w:lang w:val="en-US" w:eastAsia="zh-CN" w:bidi="ar-SA"/>
        </w:rPr>
        <w:t>（三）</w:t>
      </w:r>
      <w:r>
        <w:rPr>
          <w:rFonts w:hint="eastAsia" w:ascii="楷体" w:hAnsi="楷体" w:eastAsia="楷体" w:cs="楷体"/>
          <w:b/>
          <w:bCs/>
          <w:sz w:val="32"/>
          <w:szCs w:val="32"/>
          <w:u w:val="none"/>
        </w:rPr>
        <w:t>卫生健康支出（类）</w:t>
      </w:r>
    </w:p>
    <w:p w14:paraId="3D4567E9">
      <w:pPr>
        <w:pStyle w:val="8"/>
        <w:tabs>
          <w:tab w:val="left" w:pos="2671"/>
          <w:tab w:val="left" w:pos="5000"/>
          <w:tab w:val="left" w:pos="6190"/>
        </w:tabs>
        <w:spacing w:after="0" w:line="600" w:lineRule="exact"/>
        <w:ind w:firstLine="640" w:firstLineChars="200"/>
        <w:jc w:val="both"/>
        <w:rPr>
          <w:rFonts w:hint="eastAsia"/>
        </w:rPr>
      </w:pPr>
      <w:r>
        <w:rPr>
          <w:rFonts w:hint="eastAsia" w:ascii="Times New Roman" w:hAnsi="Times New Roman" w:eastAsia="仿宋_GB2312" w:cs="Times New Roman"/>
          <w:kern w:val="2"/>
          <w:sz w:val="32"/>
          <w:szCs w:val="32"/>
          <w:u w:val="none"/>
          <w:lang w:val="en-US" w:eastAsia="zh-CN" w:bidi="ar-SA"/>
        </w:rPr>
        <w:t>卫生健康支出类年初预算数</w:t>
      </w:r>
      <w:r>
        <w:rPr>
          <w:rFonts w:hint="eastAsia" w:eastAsia="仿宋_GB2312" w:cs="Times New Roman"/>
          <w:sz w:val="32"/>
          <w:szCs w:val="32"/>
          <w:u w:val="none"/>
          <w:lang w:val="en-US" w:eastAsia="zh-CN"/>
        </w:rPr>
        <w:t>40.54</w:t>
      </w:r>
      <w:r>
        <w:rPr>
          <w:rFonts w:hint="eastAsia" w:ascii="Times New Roman" w:hAnsi="Times New Roman" w:eastAsia="仿宋_GB2312" w:cs="Times New Roman"/>
          <w:kern w:val="2"/>
          <w:sz w:val="32"/>
          <w:szCs w:val="32"/>
          <w:u w:val="none"/>
          <w:lang w:val="en-US" w:eastAsia="zh-CN" w:bidi="ar-SA"/>
        </w:rPr>
        <w:t>万元，与上年相比</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3.28</w:t>
      </w:r>
      <w:r>
        <w:rPr>
          <w:rFonts w:hint="eastAsia" w:ascii="Times New Roman" w:hAnsi="Times New Roman" w:eastAsia="仿宋_GB2312" w:cs="Times New Roman"/>
          <w:kern w:val="2"/>
          <w:sz w:val="32"/>
          <w:szCs w:val="32"/>
          <w:u w:val="none"/>
          <w:lang w:val="en-US" w:eastAsia="zh-CN" w:bidi="ar-SA"/>
        </w:rPr>
        <w:t>万元，其中</w:t>
      </w:r>
      <w:r>
        <w:rPr>
          <w:rFonts w:hint="eastAsia" w:eastAsia="仿宋_GB2312" w:cs="Times New Roman"/>
          <w:kern w:val="2"/>
          <w:sz w:val="32"/>
          <w:szCs w:val="32"/>
          <w:u w:val="none"/>
          <w:lang w:val="en-US" w:eastAsia="zh-CN" w:bidi="ar-SA"/>
        </w:rPr>
        <w:t>：</w:t>
      </w:r>
    </w:p>
    <w:p w14:paraId="18558BFA">
      <w:pPr>
        <w:pStyle w:val="8"/>
        <w:tabs>
          <w:tab w:val="left" w:pos="2671"/>
          <w:tab w:val="left" w:pos="5000"/>
          <w:tab w:val="left" w:pos="6190"/>
        </w:tabs>
        <w:spacing w:after="0" w:line="600" w:lineRule="exact"/>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1.行政事业单位医疗（款）行政单位医疗（项）：年初预算数为</w:t>
      </w:r>
    </w:p>
    <w:p w14:paraId="1972780B">
      <w:pPr>
        <w:pStyle w:val="8"/>
        <w:tabs>
          <w:tab w:val="left" w:pos="1389"/>
          <w:tab w:val="left" w:pos="4911"/>
          <w:tab w:val="left" w:pos="5898"/>
        </w:tabs>
        <w:spacing w:after="0" w:line="600" w:lineRule="exact"/>
        <w:jc w:val="both"/>
        <w:rPr>
          <w:rFonts w:ascii="Times New Roman" w:hAnsi="Times New Roman" w:eastAsia="仿宋_GB2312" w:cs="Times New Roman"/>
          <w:sz w:val="32"/>
          <w:szCs w:val="32"/>
          <w:u w:val="none"/>
        </w:rPr>
      </w:pPr>
      <w:r>
        <w:rPr>
          <w:rFonts w:hint="eastAsia" w:eastAsia="仿宋_GB2312" w:cs="Times New Roman"/>
          <w:sz w:val="32"/>
          <w:szCs w:val="32"/>
          <w:u w:val="none"/>
          <w:lang w:val="en-US" w:eastAsia="zh-CN"/>
        </w:rPr>
        <w:t>24.21</w:t>
      </w:r>
      <w:r>
        <w:rPr>
          <w:rFonts w:ascii="Times New Roman" w:hAnsi="Times New Roman" w:eastAsia="仿宋_GB2312" w:cs="Times New Roman"/>
          <w:sz w:val="32"/>
          <w:szCs w:val="32"/>
          <w:u w:val="none"/>
        </w:rPr>
        <w:t>万元。与上年相比</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1.54</w:t>
      </w:r>
      <w:r>
        <w:rPr>
          <w:rFonts w:ascii="Times New Roman" w:hAnsi="Times New Roman" w:eastAsia="仿宋_GB2312" w:cs="Times New Roman"/>
          <w:sz w:val="32"/>
          <w:szCs w:val="32"/>
          <w:u w:val="none"/>
        </w:rPr>
        <w:t>万元，</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6.78</w:t>
      </w:r>
      <w:r>
        <w:rPr>
          <w:rFonts w:ascii="Times New Roman" w:hAnsi="Times New Roman" w:eastAsia="仿宋_GB2312" w:cs="Times New Roman"/>
          <w:sz w:val="32"/>
          <w:szCs w:val="32"/>
          <w:u w:val="none"/>
        </w:rPr>
        <w:t>%。变动原因：</w:t>
      </w:r>
      <w:r>
        <w:rPr>
          <w:rFonts w:hint="eastAsia" w:eastAsia="仿宋_GB2312"/>
          <w:sz w:val="32"/>
          <w:szCs w:val="32"/>
          <w:highlight w:val="none"/>
          <w:u w:val="none"/>
          <w:lang w:eastAsia="zh-CN"/>
        </w:rPr>
        <w:t>一</w:t>
      </w:r>
      <w:r>
        <w:rPr>
          <w:rFonts w:eastAsia="仿宋_GB2312"/>
          <w:sz w:val="32"/>
          <w:szCs w:val="32"/>
          <w:u w:val="none"/>
        </w:rPr>
        <w:t>是</w:t>
      </w:r>
      <w:r>
        <w:rPr>
          <w:rFonts w:hint="eastAsia" w:eastAsia="仿宋_GB2312"/>
          <w:sz w:val="32"/>
          <w:szCs w:val="32"/>
          <w:u w:val="none"/>
          <w:lang w:eastAsia="zh-CN"/>
        </w:rPr>
        <w:t>调入石丽娜；二是</w:t>
      </w:r>
      <w:r>
        <w:rPr>
          <w:rFonts w:hint="eastAsia" w:eastAsia="仿宋_GB2312"/>
          <w:sz w:val="32"/>
          <w:szCs w:val="32"/>
          <w:u w:val="none"/>
          <w:lang w:val="en-US" w:eastAsia="zh-CN"/>
        </w:rPr>
        <w:t>本年在职人员职务职级晋升，调增医疗保险费缴费基数。</w:t>
      </w:r>
    </w:p>
    <w:p w14:paraId="5C8661FE">
      <w:pPr>
        <w:pStyle w:val="8"/>
        <w:tabs>
          <w:tab w:val="left" w:pos="3288"/>
          <w:tab w:val="left" w:pos="5641"/>
          <w:tab w:val="left" w:pos="6778"/>
        </w:tabs>
        <w:spacing w:after="0" w:line="600" w:lineRule="exact"/>
        <w:ind w:firstLine="640" w:firstLineChars="200"/>
        <w:rPr>
          <w:rFonts w:ascii="仿宋" w:hAnsi="仿宋" w:eastAsia="仿宋" w:cs="仿宋"/>
          <w:spacing w:val="5"/>
          <w:sz w:val="31"/>
          <w:szCs w:val="31"/>
          <w:u w:val="none"/>
        </w:rPr>
      </w:pPr>
      <w:r>
        <w:rPr>
          <w:rFonts w:hint="eastAsia"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．行政事业单位医疗（款）事业单位医疗（项）。年初预算</w:t>
      </w:r>
      <w:r>
        <w:rPr>
          <w:rFonts w:hint="eastAsia" w:eastAsia="仿宋_GB2312" w:cs="Times New Roman"/>
          <w:sz w:val="32"/>
          <w:szCs w:val="32"/>
          <w:u w:val="none"/>
          <w:lang w:val="en-US" w:eastAsia="zh-CN"/>
        </w:rPr>
        <w:t>16.34</w:t>
      </w:r>
      <w:r>
        <w:rPr>
          <w:rFonts w:hint="default" w:ascii="Times New Roman" w:hAnsi="Times New Roman" w:eastAsia="仿宋_GB2312" w:cs="Times New Roman"/>
          <w:sz w:val="32"/>
          <w:szCs w:val="32"/>
          <w:u w:val="none"/>
        </w:rPr>
        <w:t>万元，与上年相比</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1.75</w:t>
      </w:r>
      <w:r>
        <w:rPr>
          <w:rFonts w:hint="default" w:ascii="Times New Roman" w:hAnsi="Times New Roman" w:eastAsia="仿宋_GB2312" w:cs="Times New Roman"/>
          <w:sz w:val="32"/>
          <w:szCs w:val="32"/>
          <w:u w:val="none"/>
        </w:rPr>
        <w:t>万元，</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11.96</w:t>
      </w:r>
      <w:r>
        <w:rPr>
          <w:rFonts w:hint="default" w:ascii="Times New Roman" w:hAnsi="Times New Roman" w:eastAsia="仿宋_GB2312" w:cs="Times New Roman"/>
          <w:sz w:val="32"/>
          <w:szCs w:val="32"/>
          <w:u w:val="none"/>
        </w:rPr>
        <w:t>%。变动原因：</w:t>
      </w:r>
      <w:r>
        <w:rPr>
          <w:rFonts w:hint="eastAsia" w:eastAsia="仿宋_GB2312"/>
          <w:sz w:val="32"/>
          <w:szCs w:val="32"/>
          <w:highlight w:val="none"/>
        </w:rPr>
        <w:t>是</w:t>
      </w:r>
      <w:r>
        <w:rPr>
          <w:rFonts w:hint="eastAsia" w:eastAsia="仿宋_GB2312"/>
          <w:sz w:val="32"/>
          <w:szCs w:val="32"/>
          <w:highlight w:val="none"/>
          <w:lang w:val="en-US" w:eastAsia="zh-CN"/>
        </w:rPr>
        <w:t>考录</w:t>
      </w:r>
      <w:r>
        <w:rPr>
          <w:rFonts w:hint="eastAsia" w:eastAsia="仿宋_GB2312"/>
          <w:sz w:val="32"/>
          <w:szCs w:val="32"/>
          <w:highlight w:val="none"/>
        </w:rPr>
        <w:t>曾国蕊、</w:t>
      </w:r>
      <w:r>
        <w:rPr>
          <w:rFonts w:hint="eastAsia" w:eastAsia="仿宋_GB2312"/>
          <w:sz w:val="32"/>
          <w:szCs w:val="32"/>
          <w:highlight w:val="none"/>
          <w:lang w:eastAsia="zh-CN"/>
        </w:rPr>
        <w:t>调入杜鹃、李伯伦及其他人员职务晋升</w:t>
      </w:r>
      <w:r>
        <w:rPr>
          <w:rFonts w:hint="eastAsia" w:eastAsia="仿宋_GB2312"/>
          <w:sz w:val="32"/>
          <w:szCs w:val="32"/>
          <w:highlight w:val="none"/>
        </w:rPr>
        <w:t>，</w:t>
      </w:r>
      <w:r>
        <w:rPr>
          <w:rFonts w:hint="eastAsia" w:eastAsia="仿宋_GB2312"/>
          <w:sz w:val="32"/>
          <w:szCs w:val="32"/>
          <w:highlight w:val="none"/>
          <w:lang w:eastAsia="zh-CN"/>
        </w:rPr>
        <w:t>调增医疗保险缴费基数。</w:t>
      </w:r>
    </w:p>
    <w:p w14:paraId="56204E51">
      <w:pPr>
        <w:pStyle w:val="8"/>
        <w:numPr>
          <w:ilvl w:val="0"/>
          <w:numId w:val="0"/>
        </w:numPr>
        <w:tabs>
          <w:tab w:val="left" w:pos="4275"/>
        </w:tabs>
        <w:spacing w:after="0" w:line="600" w:lineRule="exact"/>
        <w:ind w:left="700" w:leftChars="0"/>
        <w:rPr>
          <w:rFonts w:hint="eastAsia" w:ascii="楷体" w:hAnsi="楷体" w:eastAsia="楷体" w:cs="楷体"/>
          <w:b/>
          <w:bCs/>
          <w:sz w:val="32"/>
          <w:szCs w:val="32"/>
          <w:u w:val="none"/>
        </w:rPr>
      </w:pPr>
      <w:r>
        <w:rPr>
          <w:rFonts w:hint="eastAsia" w:ascii="楷体" w:hAnsi="楷体" w:eastAsia="楷体" w:cs="楷体"/>
          <w:b/>
          <w:bCs/>
          <w:sz w:val="32"/>
          <w:szCs w:val="32"/>
          <w:u w:val="none"/>
          <w:lang w:eastAsia="zh-CN"/>
        </w:rPr>
        <w:t>（四）</w:t>
      </w:r>
      <w:r>
        <w:rPr>
          <w:rFonts w:hint="eastAsia" w:ascii="楷体" w:hAnsi="楷体" w:eastAsia="楷体" w:cs="楷体"/>
          <w:b/>
          <w:bCs/>
          <w:sz w:val="32"/>
          <w:szCs w:val="32"/>
          <w:u w:val="none"/>
        </w:rPr>
        <w:t>商业服务业等支出（类）</w:t>
      </w:r>
    </w:p>
    <w:p w14:paraId="65417870">
      <w:pPr>
        <w:pStyle w:val="8"/>
        <w:tabs>
          <w:tab w:val="left" w:pos="2671"/>
          <w:tab w:val="left" w:pos="5000"/>
          <w:tab w:val="left" w:pos="6190"/>
        </w:tabs>
        <w:spacing w:after="0" w:line="600" w:lineRule="exact"/>
        <w:ind w:firstLine="640" w:firstLineChars="200"/>
        <w:jc w:val="both"/>
        <w:rPr>
          <w:rFonts w:hint="eastAsia"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商业服务业等支出类年初预算数</w:t>
      </w:r>
      <w:r>
        <w:rPr>
          <w:rFonts w:hint="eastAsia" w:eastAsia="仿宋_GB2312" w:cs="Times New Roman"/>
          <w:sz w:val="32"/>
          <w:szCs w:val="32"/>
          <w:u w:val="none"/>
          <w:lang w:val="en-US" w:eastAsia="zh-CN"/>
        </w:rPr>
        <w:t>100.00</w:t>
      </w:r>
      <w:r>
        <w:rPr>
          <w:rFonts w:hint="eastAsia" w:ascii="Times New Roman" w:hAnsi="Times New Roman" w:eastAsia="仿宋_GB2312" w:cs="Times New Roman"/>
          <w:kern w:val="2"/>
          <w:sz w:val="32"/>
          <w:szCs w:val="32"/>
          <w:u w:val="none"/>
          <w:lang w:val="en-US" w:eastAsia="zh-CN" w:bidi="ar-SA"/>
        </w:rPr>
        <w:t>万元，与上年相比</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10.00</w:t>
      </w:r>
      <w:r>
        <w:rPr>
          <w:rFonts w:hint="eastAsia" w:ascii="Times New Roman" w:hAnsi="Times New Roman" w:eastAsia="仿宋_GB2312" w:cs="Times New Roman"/>
          <w:kern w:val="2"/>
          <w:sz w:val="32"/>
          <w:szCs w:val="32"/>
          <w:u w:val="none"/>
          <w:lang w:val="en-US" w:eastAsia="zh-CN" w:bidi="ar-SA"/>
        </w:rPr>
        <w:t>万元，其中</w:t>
      </w:r>
      <w:r>
        <w:rPr>
          <w:rFonts w:hint="eastAsia" w:eastAsia="仿宋_GB2312" w:cs="Times New Roman"/>
          <w:kern w:val="2"/>
          <w:sz w:val="32"/>
          <w:szCs w:val="32"/>
          <w:u w:val="none"/>
          <w:lang w:val="en-US" w:eastAsia="zh-CN" w:bidi="ar-SA"/>
        </w:rPr>
        <w:t>：</w:t>
      </w:r>
    </w:p>
    <w:p w14:paraId="20233678">
      <w:pPr>
        <w:pStyle w:val="8"/>
        <w:tabs>
          <w:tab w:val="left" w:pos="2671"/>
          <w:tab w:val="left" w:pos="5000"/>
          <w:tab w:val="left" w:pos="6190"/>
        </w:tabs>
        <w:spacing w:after="0" w:line="600" w:lineRule="exact"/>
        <w:ind w:firstLine="640" w:firstLineChars="200"/>
        <w:jc w:val="both"/>
        <w:rPr>
          <w:rFonts w:hint="default" w:ascii="Times New Roman" w:hAnsi="Times New Roman" w:eastAsia="仿宋_GB2312" w:cs="Times New Roman"/>
          <w:sz w:val="32"/>
          <w:szCs w:val="32"/>
          <w:highlight w:val="yellow"/>
          <w:u w:val="none"/>
          <w:lang w:val="en-US" w:eastAsia="zh-CN"/>
        </w:rPr>
      </w:pPr>
      <w:r>
        <w:rPr>
          <w:rFonts w:hint="eastAsia" w:ascii="Times New Roman" w:hAnsi="Times New Roman" w:eastAsia="仿宋_GB2312" w:cs="Times New Roman"/>
          <w:sz w:val="32"/>
          <w:szCs w:val="32"/>
          <w:u w:val="none"/>
          <w:lang w:val="en-US" w:eastAsia="zh-CN"/>
        </w:rPr>
        <w:t>1.商业流通事务（款）其他商业流通事务支出（项）：</w:t>
      </w:r>
      <w:r>
        <w:rPr>
          <w:rFonts w:ascii="Times New Roman" w:hAnsi="Times New Roman" w:eastAsia="仿宋_GB2312" w:cs="Times New Roman"/>
          <w:sz w:val="32"/>
          <w:szCs w:val="32"/>
          <w:u w:val="none"/>
        </w:rPr>
        <w:t>年初预算</w:t>
      </w:r>
      <w:r>
        <w:rPr>
          <w:rFonts w:hint="eastAsia" w:eastAsia="仿宋_GB2312" w:cs="Times New Roman"/>
          <w:sz w:val="32"/>
          <w:szCs w:val="32"/>
          <w:u w:val="none"/>
          <w:lang w:val="en-US" w:eastAsia="zh-CN"/>
        </w:rPr>
        <w:t>100.00</w:t>
      </w:r>
      <w:r>
        <w:rPr>
          <w:rFonts w:ascii="Times New Roman" w:hAnsi="Times New Roman" w:eastAsia="仿宋_GB2312" w:cs="Times New Roman"/>
          <w:sz w:val="32"/>
          <w:szCs w:val="32"/>
          <w:u w:val="none"/>
        </w:rPr>
        <w:t>万元，与上年相比</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10.00</w:t>
      </w:r>
      <w:r>
        <w:rPr>
          <w:rFonts w:ascii="Times New Roman" w:hAnsi="Times New Roman" w:eastAsia="仿宋_GB2312" w:cs="Times New Roman"/>
          <w:sz w:val="32"/>
          <w:szCs w:val="32"/>
          <w:highlight w:val="none"/>
          <w:u w:val="none"/>
        </w:rPr>
        <w:t>万元，</w:t>
      </w:r>
      <w:r>
        <w:rPr>
          <w:rFonts w:hint="eastAsia" w:eastAsia="仿宋_GB2312" w:cs="Times New Roman"/>
          <w:sz w:val="32"/>
          <w:szCs w:val="32"/>
          <w:highlight w:val="none"/>
          <w:u w:val="none"/>
          <w:lang w:eastAsia="zh-CN"/>
        </w:rPr>
        <w:t>增加</w:t>
      </w:r>
      <w:r>
        <w:rPr>
          <w:rFonts w:hint="eastAsia" w:eastAsia="仿宋_GB2312" w:cs="Times New Roman"/>
          <w:sz w:val="32"/>
          <w:szCs w:val="32"/>
          <w:highlight w:val="none"/>
          <w:u w:val="none"/>
          <w:lang w:val="en-US" w:eastAsia="zh-CN"/>
        </w:rPr>
        <w:t>11.11</w:t>
      </w:r>
      <w:r>
        <w:rPr>
          <w:rFonts w:ascii="Times New Roman" w:hAnsi="Times New Roman" w:eastAsia="仿宋_GB2312" w:cs="Times New Roman"/>
          <w:sz w:val="32"/>
          <w:szCs w:val="32"/>
          <w:highlight w:val="none"/>
          <w:u w:val="none"/>
        </w:rPr>
        <w:t>%。变动原因：</w:t>
      </w:r>
      <w:r>
        <w:rPr>
          <w:rFonts w:hint="eastAsia" w:eastAsia="仿宋_GB2312" w:cs="Times New Roman"/>
          <w:kern w:val="2"/>
          <w:sz w:val="32"/>
          <w:szCs w:val="32"/>
          <w:highlight w:val="none"/>
          <w:u w:val="none"/>
          <w:lang w:val="en-US" w:eastAsia="zh-CN" w:bidi="ar-SA"/>
        </w:rPr>
        <w:t>所属二级单位</w:t>
      </w:r>
      <w:r>
        <w:rPr>
          <w:rFonts w:hint="eastAsia" w:eastAsia="仿宋_GB2312" w:cs="Times New Roman"/>
          <w:sz w:val="32"/>
          <w:szCs w:val="32"/>
          <w:u w:val="none"/>
          <w:lang w:val="en-US" w:eastAsia="zh-CN"/>
        </w:rPr>
        <w:t>包头市口岸服务中心</w:t>
      </w:r>
      <w:r>
        <w:rPr>
          <w:rFonts w:hint="eastAsia" w:eastAsia="仿宋_GB2312" w:cs="Times New Roman"/>
          <w:sz w:val="32"/>
          <w:szCs w:val="32"/>
          <w:highlight w:val="none"/>
          <w:u w:val="none"/>
          <w:lang w:val="en-US" w:eastAsia="zh-CN"/>
        </w:rPr>
        <w:t>的“</w:t>
      </w:r>
      <w:r>
        <w:rPr>
          <w:rFonts w:hint="eastAsia" w:ascii="Times New Roman" w:hAnsi="Times New Roman" w:eastAsia="仿宋" w:cs="Times New Roman"/>
          <w:w w:val="95"/>
          <w:kern w:val="2"/>
          <w:sz w:val="32"/>
          <w:szCs w:val="32"/>
          <w:highlight w:val="none"/>
          <w:u w:val="none"/>
          <w:lang w:val="en-US" w:eastAsia="zh-CN" w:bidi="ar-SA"/>
        </w:rPr>
        <w:t>开行中欧班列经费”项目上年年中下达，年初预算时未列。</w:t>
      </w:r>
    </w:p>
    <w:p w14:paraId="52F43CC8">
      <w:pPr>
        <w:pStyle w:val="8"/>
        <w:tabs>
          <w:tab w:val="left" w:pos="4275"/>
        </w:tabs>
        <w:spacing w:after="0" w:line="600" w:lineRule="exact"/>
        <w:ind w:firstLine="643" w:firstLineChars="200"/>
        <w:rPr>
          <w:rFonts w:hint="eastAsia" w:ascii="楷体" w:hAnsi="楷体" w:eastAsia="楷体" w:cs="楷体"/>
          <w:b/>
          <w:bCs/>
          <w:sz w:val="32"/>
          <w:szCs w:val="32"/>
          <w:u w:val="none"/>
        </w:rPr>
      </w:pPr>
      <w:r>
        <w:rPr>
          <w:rFonts w:hint="eastAsia" w:ascii="楷体" w:hAnsi="楷体" w:eastAsia="楷体" w:cs="楷体"/>
          <w:b/>
          <w:bCs/>
          <w:sz w:val="32"/>
          <w:szCs w:val="32"/>
          <w:u w:val="none"/>
        </w:rPr>
        <w:t>（</w:t>
      </w:r>
      <w:r>
        <w:rPr>
          <w:rFonts w:hint="eastAsia" w:ascii="楷体" w:hAnsi="楷体" w:eastAsia="楷体" w:cs="楷体"/>
          <w:b/>
          <w:bCs/>
          <w:sz w:val="32"/>
          <w:szCs w:val="32"/>
          <w:u w:val="none"/>
          <w:lang w:eastAsia="zh-CN"/>
        </w:rPr>
        <w:t>五</w:t>
      </w:r>
      <w:r>
        <w:rPr>
          <w:rFonts w:hint="eastAsia" w:ascii="楷体" w:hAnsi="楷体" w:eastAsia="楷体" w:cs="楷体"/>
          <w:b/>
          <w:bCs/>
          <w:sz w:val="32"/>
          <w:szCs w:val="32"/>
          <w:u w:val="none"/>
        </w:rPr>
        <w:t>）住房保障支出（类）</w:t>
      </w:r>
    </w:p>
    <w:p w14:paraId="247245D1">
      <w:pPr>
        <w:pStyle w:val="8"/>
        <w:tabs>
          <w:tab w:val="left" w:pos="2671"/>
          <w:tab w:val="left" w:pos="5000"/>
          <w:tab w:val="left" w:pos="6190"/>
        </w:tabs>
        <w:spacing w:after="0" w:line="600" w:lineRule="exact"/>
        <w:ind w:firstLine="640" w:firstLineChars="200"/>
        <w:jc w:val="both"/>
        <w:rPr>
          <w:rFonts w:hint="eastAsia"/>
        </w:rPr>
      </w:pPr>
      <w:r>
        <w:rPr>
          <w:rFonts w:hint="eastAsia" w:ascii="Times New Roman" w:hAnsi="Times New Roman" w:eastAsia="仿宋_GB2312" w:cs="Times New Roman"/>
          <w:kern w:val="2"/>
          <w:sz w:val="32"/>
          <w:szCs w:val="32"/>
          <w:u w:val="none"/>
          <w:lang w:val="en-US" w:eastAsia="zh-CN" w:bidi="ar-SA"/>
        </w:rPr>
        <w:t>住房保障支出类年初预算数</w:t>
      </w:r>
      <w:r>
        <w:rPr>
          <w:rFonts w:hint="eastAsia" w:eastAsia="仿宋_GB2312" w:cs="Times New Roman"/>
          <w:sz w:val="32"/>
          <w:szCs w:val="32"/>
          <w:u w:val="none"/>
          <w:lang w:val="en-US" w:eastAsia="zh-CN"/>
        </w:rPr>
        <w:t>66.56</w:t>
      </w:r>
      <w:r>
        <w:rPr>
          <w:rFonts w:hint="eastAsia" w:ascii="Times New Roman" w:hAnsi="Times New Roman" w:eastAsia="仿宋_GB2312" w:cs="Times New Roman"/>
          <w:kern w:val="2"/>
          <w:sz w:val="32"/>
          <w:szCs w:val="32"/>
          <w:u w:val="none"/>
          <w:lang w:val="en-US" w:eastAsia="zh-CN" w:bidi="ar-SA"/>
        </w:rPr>
        <w:t>万元，与上年相比</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5.46</w:t>
      </w:r>
      <w:r>
        <w:rPr>
          <w:rFonts w:hint="eastAsia" w:ascii="Times New Roman" w:hAnsi="Times New Roman" w:eastAsia="仿宋_GB2312" w:cs="Times New Roman"/>
          <w:kern w:val="2"/>
          <w:sz w:val="32"/>
          <w:szCs w:val="32"/>
          <w:u w:val="none"/>
          <w:lang w:val="en-US" w:eastAsia="zh-CN" w:bidi="ar-SA"/>
        </w:rPr>
        <w:t>万元，其中</w:t>
      </w:r>
      <w:r>
        <w:rPr>
          <w:rFonts w:hint="eastAsia" w:eastAsia="仿宋_GB2312" w:cs="Times New Roman"/>
          <w:kern w:val="2"/>
          <w:sz w:val="32"/>
          <w:szCs w:val="32"/>
          <w:u w:val="none"/>
          <w:lang w:val="en-US" w:eastAsia="zh-CN" w:bidi="ar-SA"/>
        </w:rPr>
        <w:t>：</w:t>
      </w:r>
    </w:p>
    <w:p w14:paraId="391B13AF">
      <w:pPr>
        <w:pStyle w:val="8"/>
        <w:tabs>
          <w:tab w:val="left" w:pos="1389"/>
          <w:tab w:val="left" w:pos="4911"/>
          <w:tab w:val="left" w:pos="5898"/>
        </w:tabs>
        <w:spacing w:after="0" w:line="600" w:lineRule="exact"/>
        <w:ind w:firstLine="640" w:firstLineChars="200"/>
        <w:jc w:val="both"/>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1.住房改革支出（款）住房公积金支出（项）：年初预算</w:t>
      </w:r>
      <w:r>
        <w:rPr>
          <w:rFonts w:hint="eastAsia" w:eastAsia="仿宋_GB2312" w:cs="Times New Roman"/>
          <w:sz w:val="32"/>
          <w:szCs w:val="32"/>
          <w:u w:val="none"/>
          <w:lang w:val="en-US" w:eastAsia="zh-CN"/>
        </w:rPr>
        <w:t>66.56</w:t>
      </w:r>
      <w:r>
        <w:rPr>
          <w:rFonts w:hint="eastAsia" w:ascii="Times New Roman" w:hAnsi="Times New Roman" w:eastAsia="仿宋_GB2312" w:cs="Times New Roman"/>
          <w:sz w:val="32"/>
          <w:szCs w:val="32"/>
          <w:u w:val="none"/>
          <w:lang w:val="en-US" w:eastAsia="zh-CN"/>
        </w:rPr>
        <w:t>万元，与上年预算数相比</w:t>
      </w:r>
      <w:r>
        <w:rPr>
          <w:rFonts w:hint="eastAsia" w:eastAsia="仿宋_GB2312" w:cs="Times New Roman"/>
          <w:sz w:val="32"/>
          <w:szCs w:val="32"/>
          <w:u w:val="none"/>
          <w:lang w:eastAsia="zh-CN"/>
        </w:rPr>
        <w:t>增加</w:t>
      </w:r>
      <w:r>
        <w:rPr>
          <w:rFonts w:hint="eastAsia" w:eastAsia="仿宋_GB2312" w:cs="Times New Roman"/>
          <w:sz w:val="32"/>
          <w:szCs w:val="32"/>
          <w:u w:val="none"/>
          <w:lang w:val="en-US" w:eastAsia="zh-CN"/>
        </w:rPr>
        <w:t>5.46</w:t>
      </w:r>
      <w:r>
        <w:rPr>
          <w:rFonts w:hint="eastAsia" w:ascii="Times New Roman" w:hAnsi="Times New Roman" w:eastAsia="仿宋_GB2312" w:cs="Times New Roman"/>
          <w:sz w:val="32"/>
          <w:szCs w:val="32"/>
          <w:u w:val="none"/>
          <w:lang w:val="en-US" w:eastAsia="zh-CN"/>
        </w:rPr>
        <w:t>万元，</w:t>
      </w:r>
      <w:r>
        <w:rPr>
          <w:rFonts w:hint="eastAsia" w:eastAsia="仿宋_GB2312" w:cs="Times New Roman"/>
          <w:sz w:val="32"/>
          <w:szCs w:val="32"/>
          <w:u w:val="none"/>
          <w:lang w:val="en-US" w:eastAsia="zh-CN"/>
        </w:rPr>
        <w:t>增加8.94</w:t>
      </w:r>
      <w:r>
        <w:rPr>
          <w:rFonts w:hint="eastAsia" w:ascii="Times New Roman" w:hAnsi="Times New Roman" w:eastAsia="仿宋_GB2312" w:cs="Times New Roman"/>
          <w:sz w:val="32"/>
          <w:szCs w:val="32"/>
          <w:u w:val="none"/>
          <w:lang w:val="en-US" w:eastAsia="zh-CN"/>
        </w:rPr>
        <w:t>%。变动原因：</w:t>
      </w:r>
      <w:r>
        <w:rPr>
          <w:rFonts w:hint="eastAsia" w:eastAsia="仿宋_GB2312"/>
          <w:sz w:val="32"/>
          <w:szCs w:val="32"/>
          <w:highlight w:val="none"/>
          <w:u w:val="none"/>
          <w:lang w:eastAsia="zh-CN"/>
        </w:rPr>
        <w:t>一</w:t>
      </w:r>
      <w:r>
        <w:rPr>
          <w:rFonts w:eastAsia="仿宋_GB2312"/>
          <w:sz w:val="32"/>
          <w:szCs w:val="32"/>
          <w:u w:val="none"/>
        </w:rPr>
        <w:t>是</w:t>
      </w:r>
      <w:r>
        <w:rPr>
          <w:rFonts w:hint="eastAsia" w:eastAsia="仿宋_GB2312"/>
          <w:sz w:val="32"/>
          <w:szCs w:val="32"/>
          <w:u w:val="none"/>
          <w:lang w:eastAsia="zh-CN"/>
        </w:rPr>
        <w:t>调入石丽娜；二是</w:t>
      </w:r>
      <w:r>
        <w:rPr>
          <w:rFonts w:hint="eastAsia" w:eastAsia="仿宋_GB2312"/>
          <w:sz w:val="32"/>
          <w:szCs w:val="32"/>
          <w:u w:val="none"/>
          <w:lang w:val="en-US" w:eastAsia="zh-CN"/>
        </w:rPr>
        <w:t>本年在职人员职务职级晋升，调增住房公积金缴费基数。</w:t>
      </w:r>
    </w:p>
    <w:p w14:paraId="5FF284D1">
      <w:pPr>
        <w:spacing w:line="600" w:lineRule="exact"/>
        <w:ind w:firstLine="640" w:firstLineChars="200"/>
        <w:outlineLvl w:val="0"/>
        <w:rPr>
          <w:rFonts w:eastAsia="黑体" w:cs="黑体"/>
          <w:sz w:val="32"/>
          <w:szCs w:val="36"/>
          <w:u w:val="none"/>
        </w:rPr>
      </w:pPr>
      <w:r>
        <w:rPr>
          <w:rFonts w:hint="eastAsia" w:eastAsia="黑体" w:cs="黑体"/>
          <w:sz w:val="32"/>
          <w:szCs w:val="36"/>
          <w:u w:val="none"/>
        </w:rPr>
        <w:t>六、一般公共预算基本支出预算情况说明</w:t>
      </w:r>
    </w:p>
    <w:p w14:paraId="7704C20E">
      <w:pPr>
        <w:pStyle w:val="8"/>
        <w:tabs>
          <w:tab w:val="left" w:pos="2671"/>
          <w:tab w:val="left" w:pos="5000"/>
          <w:tab w:val="left" w:pos="6190"/>
        </w:tabs>
        <w:spacing w:after="0" w:line="600" w:lineRule="exact"/>
        <w:ind w:firstLine="640" w:firstLineChars="200"/>
        <w:rPr>
          <w:rFonts w:hint="eastAsia" w:eastAsia="仿宋_GB2312" w:cs="Times New Roman"/>
          <w:sz w:val="32"/>
          <w:szCs w:val="32"/>
          <w:u w:val="none"/>
          <w:lang w:eastAsia="zh-CN"/>
        </w:rPr>
      </w:pPr>
      <w:r>
        <w:rPr>
          <w:rFonts w:hint="eastAsia" w:eastAsia="仿宋_GB2312" w:cs="Times New Roman"/>
          <w:sz w:val="32"/>
          <w:szCs w:val="32"/>
          <w:u w:val="none"/>
          <w:lang w:eastAsia="zh-CN"/>
        </w:rPr>
        <w:t>包头市商务局部门</w:t>
      </w:r>
      <w:r>
        <w:rPr>
          <w:rFonts w:hint="eastAsia" w:eastAsia="仿宋_GB2312" w:cs="Times New Roman"/>
          <w:sz w:val="32"/>
          <w:szCs w:val="32"/>
          <w:u w:val="none"/>
          <w:lang w:val="en-US" w:eastAsia="zh-CN"/>
        </w:rPr>
        <w:t>2026</w:t>
      </w:r>
      <w:r>
        <w:rPr>
          <w:rFonts w:hint="eastAsia" w:eastAsia="仿宋_GB2312" w:cs="Times New Roman"/>
          <w:sz w:val="32"/>
          <w:szCs w:val="32"/>
          <w:u w:val="none"/>
          <w:lang w:eastAsia="zh-CN"/>
        </w:rPr>
        <w:t>年度一般公共预算财政拨款基本支出预算</w:t>
      </w:r>
      <w:r>
        <w:rPr>
          <w:rFonts w:hint="eastAsia" w:eastAsia="仿宋_GB2312" w:cs="Times New Roman"/>
          <w:sz w:val="32"/>
          <w:szCs w:val="32"/>
          <w:u w:val="none"/>
          <w:lang w:val="en-US" w:eastAsia="zh-CN"/>
        </w:rPr>
        <w:t>999.96</w:t>
      </w:r>
      <w:r>
        <w:rPr>
          <w:rFonts w:hint="eastAsia" w:eastAsia="仿宋_GB2312" w:cs="Times New Roman"/>
          <w:sz w:val="32"/>
          <w:szCs w:val="32"/>
          <w:u w:val="none"/>
          <w:lang w:eastAsia="zh-CN"/>
        </w:rPr>
        <w:t>万元，其中：</w:t>
      </w:r>
    </w:p>
    <w:p w14:paraId="6FFD10D2">
      <w:pPr>
        <w:pStyle w:val="8"/>
        <w:tabs>
          <w:tab w:val="left" w:pos="2671"/>
          <w:tab w:val="left" w:pos="5000"/>
          <w:tab w:val="left" w:pos="6190"/>
        </w:tabs>
        <w:spacing w:after="0" w:line="600" w:lineRule="exact"/>
        <w:ind w:firstLine="643" w:firstLineChars="200"/>
        <w:rPr>
          <w:rFonts w:eastAsia="仿宋_GB2312"/>
          <w:sz w:val="32"/>
          <w:szCs w:val="32"/>
          <w:u w:val="none"/>
        </w:rPr>
      </w:pPr>
      <w:r>
        <w:rPr>
          <w:rFonts w:eastAsia="仿宋_GB2312"/>
          <w:b/>
          <w:bCs/>
          <w:sz w:val="32"/>
          <w:szCs w:val="32"/>
          <w:u w:val="none"/>
        </w:rPr>
        <w:t>（一）人员经费</w:t>
      </w:r>
      <w:r>
        <w:rPr>
          <w:rFonts w:hint="eastAsia" w:eastAsia="仿宋_GB2312"/>
          <w:b/>
          <w:bCs/>
          <w:sz w:val="32"/>
          <w:szCs w:val="32"/>
          <w:u w:val="none"/>
          <w:lang w:val="en-US" w:eastAsia="zh-CN"/>
        </w:rPr>
        <w:t>944.07</w:t>
      </w:r>
      <w:r>
        <w:rPr>
          <w:rFonts w:eastAsia="仿宋_GB2312"/>
          <w:b/>
          <w:bCs/>
          <w:sz w:val="32"/>
          <w:szCs w:val="32"/>
          <w:u w:val="none"/>
        </w:rPr>
        <w:t>万元</w:t>
      </w:r>
      <w:r>
        <w:rPr>
          <w:rFonts w:eastAsia="仿宋_GB2312"/>
          <w:sz w:val="32"/>
          <w:szCs w:val="32"/>
          <w:u w:val="none"/>
        </w:rPr>
        <w:t>。主要包括：基本工资</w:t>
      </w:r>
      <w:r>
        <w:rPr>
          <w:rFonts w:hint="eastAsia" w:eastAsia="仿宋_GB2312"/>
          <w:sz w:val="32"/>
          <w:szCs w:val="32"/>
          <w:u w:val="none"/>
          <w:lang w:val="en-US" w:eastAsia="zh-CN"/>
        </w:rPr>
        <w:t>269.47万元</w:t>
      </w:r>
      <w:r>
        <w:rPr>
          <w:rFonts w:eastAsia="仿宋_GB2312"/>
          <w:sz w:val="32"/>
          <w:szCs w:val="32"/>
          <w:u w:val="none"/>
        </w:rPr>
        <w:t>、津贴补贴</w:t>
      </w:r>
      <w:r>
        <w:rPr>
          <w:rFonts w:hint="eastAsia" w:eastAsia="仿宋_GB2312"/>
          <w:sz w:val="32"/>
          <w:szCs w:val="32"/>
          <w:u w:val="none"/>
          <w:lang w:val="en-US" w:eastAsia="zh-CN"/>
        </w:rPr>
        <w:t>184.63万元</w:t>
      </w:r>
      <w:r>
        <w:rPr>
          <w:rFonts w:eastAsia="仿宋_GB2312"/>
          <w:sz w:val="32"/>
          <w:szCs w:val="32"/>
          <w:u w:val="none"/>
        </w:rPr>
        <w:t>、奖金</w:t>
      </w:r>
      <w:r>
        <w:rPr>
          <w:rFonts w:hint="eastAsia" w:eastAsia="仿宋_GB2312"/>
          <w:sz w:val="32"/>
          <w:szCs w:val="32"/>
          <w:u w:val="none"/>
          <w:lang w:val="en-US" w:eastAsia="zh-CN"/>
        </w:rPr>
        <w:t>130.65万元</w:t>
      </w:r>
      <w:r>
        <w:rPr>
          <w:rFonts w:eastAsia="仿宋_GB2312"/>
          <w:sz w:val="32"/>
          <w:szCs w:val="32"/>
          <w:u w:val="none"/>
        </w:rPr>
        <w:t>、</w:t>
      </w:r>
      <w:r>
        <w:rPr>
          <w:rFonts w:hint="eastAsia" w:eastAsia="仿宋_GB2312"/>
          <w:sz w:val="32"/>
          <w:szCs w:val="32"/>
          <w:u w:val="none"/>
        </w:rPr>
        <w:t>绩效工资</w:t>
      </w:r>
      <w:r>
        <w:rPr>
          <w:rFonts w:hint="eastAsia" w:eastAsia="仿宋_GB2312"/>
          <w:sz w:val="32"/>
          <w:szCs w:val="32"/>
          <w:u w:val="none"/>
          <w:lang w:val="en-US" w:eastAsia="zh-CN"/>
        </w:rPr>
        <w:t>107.86万元、</w:t>
      </w:r>
      <w:r>
        <w:rPr>
          <w:rFonts w:hint="eastAsia" w:eastAsia="仿宋_GB2312"/>
          <w:sz w:val="32"/>
          <w:szCs w:val="32"/>
          <w:u w:val="none"/>
        </w:rPr>
        <w:t>机关事业单位基本养老保险缴费</w:t>
      </w:r>
      <w:r>
        <w:rPr>
          <w:rFonts w:hint="eastAsia" w:eastAsia="仿宋_GB2312"/>
          <w:sz w:val="32"/>
          <w:szCs w:val="32"/>
          <w:u w:val="none"/>
          <w:lang w:val="en-US" w:eastAsia="zh-CN"/>
        </w:rPr>
        <w:t>85.51万元</w:t>
      </w:r>
      <w:r>
        <w:rPr>
          <w:rFonts w:eastAsia="仿宋_GB2312"/>
          <w:sz w:val="32"/>
          <w:szCs w:val="32"/>
          <w:u w:val="none"/>
        </w:rPr>
        <w:t>、</w:t>
      </w:r>
      <w:r>
        <w:rPr>
          <w:rFonts w:hint="eastAsia" w:eastAsia="仿宋_GB2312"/>
          <w:sz w:val="32"/>
          <w:szCs w:val="32"/>
          <w:u w:val="none"/>
        </w:rPr>
        <w:t>职工基本医疗保险缴费</w:t>
      </w:r>
      <w:r>
        <w:rPr>
          <w:rFonts w:hint="eastAsia" w:eastAsia="仿宋_GB2312"/>
          <w:sz w:val="32"/>
          <w:szCs w:val="32"/>
          <w:u w:val="none"/>
          <w:lang w:val="en-US" w:eastAsia="zh-CN"/>
        </w:rPr>
        <w:t>40.54万元</w:t>
      </w:r>
      <w:r>
        <w:rPr>
          <w:rFonts w:eastAsia="仿宋_GB2312"/>
          <w:sz w:val="32"/>
          <w:szCs w:val="32"/>
          <w:u w:val="none"/>
        </w:rPr>
        <w:t>、</w:t>
      </w:r>
      <w:r>
        <w:rPr>
          <w:rFonts w:hint="eastAsia" w:eastAsia="仿宋_GB2312"/>
          <w:sz w:val="32"/>
          <w:szCs w:val="32"/>
          <w:u w:val="none"/>
        </w:rPr>
        <w:t>其他社会保障缴费</w:t>
      </w:r>
      <w:r>
        <w:rPr>
          <w:rFonts w:hint="eastAsia" w:eastAsia="仿宋_GB2312"/>
          <w:sz w:val="32"/>
          <w:szCs w:val="32"/>
          <w:u w:val="none"/>
          <w:lang w:val="en-US" w:eastAsia="zh-CN"/>
        </w:rPr>
        <w:t>2.32万元、</w:t>
      </w:r>
      <w:r>
        <w:rPr>
          <w:rFonts w:eastAsia="仿宋_GB2312"/>
          <w:sz w:val="32"/>
          <w:szCs w:val="32"/>
          <w:u w:val="none"/>
        </w:rPr>
        <w:t>住房公积</w:t>
      </w:r>
      <w:r>
        <w:rPr>
          <w:rFonts w:hint="eastAsia" w:eastAsia="仿宋_GB2312"/>
          <w:sz w:val="32"/>
          <w:szCs w:val="32"/>
          <w:u w:val="none"/>
          <w:lang w:eastAsia="zh-CN"/>
        </w:rPr>
        <w:t>金</w:t>
      </w:r>
      <w:r>
        <w:rPr>
          <w:rFonts w:hint="eastAsia" w:eastAsia="仿宋_GB2312"/>
          <w:sz w:val="32"/>
          <w:szCs w:val="32"/>
          <w:u w:val="none"/>
          <w:lang w:val="en-US" w:eastAsia="zh-CN"/>
        </w:rPr>
        <w:t>66.56万元</w:t>
      </w:r>
      <w:r>
        <w:rPr>
          <w:rFonts w:eastAsia="仿宋_GB2312"/>
          <w:sz w:val="32"/>
          <w:szCs w:val="32"/>
          <w:u w:val="none"/>
        </w:rPr>
        <w:t>、</w:t>
      </w:r>
      <w:r>
        <w:rPr>
          <w:rFonts w:hint="eastAsia" w:eastAsia="仿宋_GB2312"/>
          <w:sz w:val="32"/>
          <w:szCs w:val="32"/>
          <w:u w:val="none"/>
          <w:lang w:eastAsia="zh-CN"/>
        </w:rPr>
        <w:t>退休费</w:t>
      </w:r>
      <w:r>
        <w:rPr>
          <w:rFonts w:hint="eastAsia" w:eastAsia="仿宋_GB2312"/>
          <w:sz w:val="32"/>
          <w:szCs w:val="32"/>
          <w:u w:val="none"/>
          <w:lang w:val="en-US" w:eastAsia="zh-CN"/>
        </w:rPr>
        <w:t>56.51万元</w:t>
      </w:r>
      <w:r>
        <w:rPr>
          <w:rFonts w:eastAsia="仿宋_GB2312"/>
          <w:sz w:val="32"/>
          <w:szCs w:val="32"/>
          <w:u w:val="none"/>
        </w:rPr>
        <w:t>等。</w:t>
      </w:r>
    </w:p>
    <w:p w14:paraId="689957D1">
      <w:pPr>
        <w:pStyle w:val="8"/>
        <w:tabs>
          <w:tab w:val="left" w:pos="2671"/>
          <w:tab w:val="left" w:pos="5000"/>
          <w:tab w:val="left" w:pos="6190"/>
        </w:tabs>
        <w:spacing w:after="0" w:line="600" w:lineRule="exact"/>
        <w:ind w:firstLine="643" w:firstLineChars="200"/>
        <w:rPr>
          <w:rFonts w:eastAsia="仿宋_GB2312"/>
          <w:sz w:val="32"/>
          <w:szCs w:val="32"/>
          <w:u w:val="none"/>
        </w:rPr>
      </w:pPr>
      <w:r>
        <w:rPr>
          <w:rFonts w:eastAsia="仿宋_GB2312"/>
          <w:b/>
          <w:bCs/>
          <w:sz w:val="32"/>
          <w:szCs w:val="32"/>
          <w:u w:val="none"/>
        </w:rPr>
        <w:t>（二）公用经费</w:t>
      </w:r>
      <w:r>
        <w:rPr>
          <w:rFonts w:hint="eastAsia" w:eastAsia="仿宋_GB2312"/>
          <w:b/>
          <w:bCs/>
          <w:sz w:val="32"/>
          <w:szCs w:val="32"/>
          <w:u w:val="none"/>
          <w:lang w:val="en-US" w:eastAsia="zh-CN"/>
        </w:rPr>
        <w:t>55.89</w:t>
      </w:r>
      <w:r>
        <w:rPr>
          <w:rFonts w:eastAsia="仿宋_GB2312"/>
          <w:b/>
          <w:bCs/>
          <w:sz w:val="32"/>
          <w:szCs w:val="32"/>
          <w:u w:val="none"/>
        </w:rPr>
        <w:t>万元</w:t>
      </w:r>
      <w:r>
        <w:rPr>
          <w:rFonts w:eastAsia="仿宋_GB2312"/>
          <w:sz w:val="32"/>
          <w:szCs w:val="32"/>
          <w:u w:val="none"/>
        </w:rPr>
        <w:t>。主要包括：办公费</w:t>
      </w:r>
      <w:r>
        <w:rPr>
          <w:rFonts w:hint="eastAsia" w:eastAsia="仿宋_GB2312"/>
          <w:sz w:val="32"/>
          <w:szCs w:val="32"/>
          <w:u w:val="none"/>
          <w:lang w:val="en-US" w:eastAsia="zh-CN"/>
        </w:rPr>
        <w:t>6.83万元</w:t>
      </w:r>
      <w:r>
        <w:rPr>
          <w:rFonts w:eastAsia="仿宋_GB2312"/>
          <w:sz w:val="32"/>
          <w:szCs w:val="32"/>
          <w:u w:val="none"/>
        </w:rPr>
        <w:t>、印刷费</w:t>
      </w:r>
      <w:r>
        <w:rPr>
          <w:rFonts w:hint="eastAsia" w:eastAsia="仿宋_GB2312"/>
          <w:sz w:val="32"/>
          <w:szCs w:val="32"/>
          <w:u w:val="none"/>
          <w:lang w:val="en-US" w:eastAsia="zh-CN"/>
        </w:rPr>
        <w:t>0.50万元、</w:t>
      </w:r>
      <w:r>
        <w:rPr>
          <w:rFonts w:eastAsia="仿宋_GB2312"/>
          <w:sz w:val="32"/>
          <w:szCs w:val="32"/>
          <w:u w:val="none"/>
        </w:rPr>
        <w:t>邮电费</w:t>
      </w:r>
      <w:r>
        <w:rPr>
          <w:rFonts w:hint="eastAsia" w:eastAsia="仿宋_GB2312"/>
          <w:sz w:val="32"/>
          <w:szCs w:val="32"/>
          <w:u w:val="none"/>
          <w:lang w:val="en-US" w:eastAsia="zh-CN"/>
        </w:rPr>
        <w:t>1.70万元、</w:t>
      </w:r>
      <w:r>
        <w:rPr>
          <w:rFonts w:eastAsia="仿宋_GB2312"/>
          <w:sz w:val="32"/>
          <w:szCs w:val="32"/>
          <w:u w:val="none"/>
        </w:rPr>
        <w:t>差旅费</w:t>
      </w:r>
      <w:r>
        <w:rPr>
          <w:rFonts w:hint="eastAsia" w:eastAsia="仿宋_GB2312"/>
          <w:sz w:val="32"/>
          <w:szCs w:val="32"/>
          <w:u w:val="none"/>
          <w:lang w:val="en-US" w:eastAsia="zh-CN"/>
        </w:rPr>
        <w:t>1.75万元、培训费0.11万元、委托业务费2.69万元、</w:t>
      </w:r>
      <w:r>
        <w:rPr>
          <w:rFonts w:eastAsia="仿宋_GB2312"/>
          <w:sz w:val="32"/>
          <w:szCs w:val="32"/>
          <w:u w:val="none"/>
        </w:rPr>
        <w:t>工会经费</w:t>
      </w:r>
      <w:r>
        <w:rPr>
          <w:rFonts w:hint="eastAsia" w:eastAsia="仿宋_GB2312"/>
          <w:sz w:val="32"/>
          <w:szCs w:val="32"/>
          <w:u w:val="none"/>
          <w:lang w:val="en-US" w:eastAsia="zh-CN"/>
        </w:rPr>
        <w:t>10.69万元、公务用车运行维护费5.00万元、其他商品和服务支出24.76万元、其他对个人和家庭的补助1.86万元</w:t>
      </w:r>
      <w:r>
        <w:rPr>
          <w:rFonts w:eastAsia="仿宋_GB2312"/>
          <w:sz w:val="32"/>
          <w:szCs w:val="32"/>
          <w:u w:val="none"/>
        </w:rPr>
        <w:t>等。</w:t>
      </w:r>
    </w:p>
    <w:p w14:paraId="7A9B2A91">
      <w:pPr>
        <w:spacing w:line="600" w:lineRule="exact"/>
        <w:ind w:firstLine="640" w:firstLineChars="200"/>
        <w:outlineLvl w:val="0"/>
        <w:rPr>
          <w:rFonts w:eastAsia="黑体" w:cs="黑体"/>
          <w:sz w:val="32"/>
          <w:szCs w:val="36"/>
          <w:u w:val="none"/>
        </w:rPr>
      </w:pPr>
      <w:r>
        <w:rPr>
          <w:rFonts w:hint="eastAsia" w:eastAsia="黑体" w:cs="黑体"/>
          <w:sz w:val="32"/>
          <w:szCs w:val="36"/>
          <w:u w:val="none"/>
        </w:rPr>
        <w:t>七、一般公共预算“三公”经费支出预算情况说明</w:t>
      </w:r>
    </w:p>
    <w:p w14:paraId="60BC2EE3">
      <w:pPr>
        <w:pStyle w:val="8"/>
        <w:tabs>
          <w:tab w:val="left" w:pos="2671"/>
          <w:tab w:val="left" w:pos="5000"/>
          <w:tab w:val="left" w:pos="6190"/>
        </w:tabs>
        <w:spacing w:after="0" w:line="600" w:lineRule="exact"/>
        <w:ind w:firstLine="656" w:firstLineChars="200"/>
        <w:rPr>
          <w:rFonts w:eastAsia="仿宋_GB2312"/>
          <w:sz w:val="32"/>
          <w:szCs w:val="32"/>
          <w:u w:val="none"/>
        </w:rPr>
      </w:pPr>
      <w:r>
        <w:rPr>
          <w:rFonts w:hint="eastAsia" w:ascii="仿宋" w:hAnsi="仿宋" w:eastAsia="仿宋" w:cs="仿宋"/>
          <w:spacing w:val="9"/>
          <w:sz w:val="31"/>
          <w:szCs w:val="31"/>
          <w:u w:val="none"/>
          <w:lang w:eastAsia="zh-CN"/>
        </w:rPr>
        <w:t>包头市商务局部门</w:t>
      </w:r>
      <w:r>
        <w:rPr>
          <w:rFonts w:hint="eastAsia" w:eastAsia="仿宋_GB2312"/>
          <w:sz w:val="32"/>
          <w:szCs w:val="32"/>
          <w:u w:val="none"/>
          <w:lang w:val="en-US" w:eastAsia="zh-CN"/>
        </w:rPr>
        <w:t>2026</w:t>
      </w:r>
      <w:r>
        <w:rPr>
          <w:rFonts w:eastAsia="仿宋_GB2312"/>
          <w:sz w:val="32"/>
          <w:szCs w:val="32"/>
          <w:u w:val="none"/>
        </w:rPr>
        <w:t>年度一般公共预算拨款安排的“三公”经费预算支出</w:t>
      </w:r>
      <w:r>
        <w:rPr>
          <w:rFonts w:hint="eastAsia" w:eastAsia="仿宋_GB2312"/>
          <w:sz w:val="32"/>
          <w:szCs w:val="32"/>
          <w:u w:val="none"/>
          <w:lang w:val="en-US" w:eastAsia="zh-CN"/>
        </w:rPr>
        <w:t>5.00</w:t>
      </w:r>
      <w:r>
        <w:rPr>
          <w:rFonts w:eastAsia="仿宋_GB2312"/>
          <w:sz w:val="32"/>
          <w:szCs w:val="32"/>
          <w:u w:val="none"/>
        </w:rPr>
        <w:t>万元，其中因公出国（境）费支出</w:t>
      </w:r>
      <w:r>
        <w:rPr>
          <w:rFonts w:hint="eastAsia" w:eastAsia="仿宋_GB2312"/>
          <w:sz w:val="32"/>
          <w:szCs w:val="32"/>
          <w:u w:val="none"/>
          <w:lang w:val="en-US" w:eastAsia="zh-CN"/>
        </w:rPr>
        <w:t>0</w:t>
      </w:r>
      <w:r>
        <w:rPr>
          <w:rFonts w:eastAsia="仿宋_GB2312"/>
          <w:sz w:val="32"/>
          <w:szCs w:val="32"/>
          <w:u w:val="none"/>
        </w:rPr>
        <w:t>万元，占“三公”经费的</w:t>
      </w:r>
      <w:r>
        <w:rPr>
          <w:rFonts w:hint="eastAsia" w:eastAsia="仿宋_GB2312"/>
          <w:sz w:val="32"/>
          <w:szCs w:val="32"/>
          <w:u w:val="none"/>
          <w:lang w:val="en-US" w:eastAsia="zh-CN"/>
        </w:rPr>
        <w:t>0</w:t>
      </w:r>
      <w:r>
        <w:rPr>
          <w:rFonts w:eastAsia="仿宋_GB2312"/>
          <w:sz w:val="32"/>
          <w:szCs w:val="32"/>
          <w:u w:val="none"/>
        </w:rPr>
        <w:t>%；公务用车购置及运行维护费支出</w:t>
      </w:r>
      <w:r>
        <w:rPr>
          <w:rFonts w:hint="eastAsia" w:eastAsia="仿宋_GB2312"/>
          <w:sz w:val="32"/>
          <w:szCs w:val="32"/>
          <w:u w:val="none"/>
          <w:lang w:val="en-US" w:eastAsia="zh-CN"/>
        </w:rPr>
        <w:t>5.00</w:t>
      </w:r>
      <w:r>
        <w:rPr>
          <w:rFonts w:eastAsia="仿宋_GB2312"/>
          <w:sz w:val="32"/>
          <w:szCs w:val="32"/>
          <w:u w:val="none"/>
        </w:rPr>
        <w:t>万元，占“三公”经费的</w:t>
      </w:r>
      <w:r>
        <w:rPr>
          <w:rFonts w:hint="eastAsia" w:eastAsia="仿宋_GB2312"/>
          <w:sz w:val="32"/>
          <w:szCs w:val="32"/>
          <w:u w:val="none"/>
          <w:lang w:val="en-US" w:eastAsia="zh-CN"/>
        </w:rPr>
        <w:t>100</w:t>
      </w:r>
      <w:r>
        <w:rPr>
          <w:rFonts w:eastAsia="仿宋_GB2312"/>
          <w:sz w:val="32"/>
          <w:szCs w:val="32"/>
          <w:u w:val="none"/>
        </w:rPr>
        <w:t>%；公务接待费支出</w:t>
      </w:r>
      <w:r>
        <w:rPr>
          <w:rFonts w:hint="eastAsia" w:eastAsia="仿宋_GB2312"/>
          <w:sz w:val="32"/>
          <w:szCs w:val="32"/>
          <w:u w:val="none"/>
          <w:lang w:val="en-US" w:eastAsia="zh-CN"/>
        </w:rPr>
        <w:t>0</w:t>
      </w:r>
      <w:r>
        <w:rPr>
          <w:rFonts w:eastAsia="仿宋_GB2312"/>
          <w:sz w:val="32"/>
          <w:szCs w:val="32"/>
          <w:u w:val="none"/>
        </w:rPr>
        <w:t>万元，占“三公”经费的</w:t>
      </w:r>
      <w:r>
        <w:rPr>
          <w:rFonts w:hint="eastAsia" w:eastAsia="仿宋_GB2312"/>
          <w:sz w:val="32"/>
          <w:szCs w:val="32"/>
          <w:u w:val="none"/>
          <w:lang w:val="en-US" w:eastAsia="zh-CN"/>
        </w:rPr>
        <w:t>0</w:t>
      </w:r>
      <w:r>
        <w:rPr>
          <w:rFonts w:eastAsia="仿宋_GB2312"/>
          <w:sz w:val="32"/>
          <w:szCs w:val="32"/>
          <w:u w:val="none"/>
        </w:rPr>
        <w:t>%。具体情况如下：</w:t>
      </w:r>
    </w:p>
    <w:p w14:paraId="4FF66D77">
      <w:pPr>
        <w:spacing w:line="600" w:lineRule="exact"/>
        <w:ind w:left="29" w:right="96" w:firstLine="650"/>
        <w:rPr>
          <w:rFonts w:eastAsia="仿宋_GB2312"/>
          <w:sz w:val="32"/>
          <w:szCs w:val="32"/>
          <w:u w:val="none"/>
        </w:rPr>
      </w:pPr>
      <w:r>
        <w:rPr>
          <w:rFonts w:eastAsia="仿宋_GB2312"/>
          <w:sz w:val="32"/>
          <w:szCs w:val="32"/>
          <w:u w:val="none"/>
        </w:rPr>
        <w:t>一般公共预算拨款安排的“三公”经费预算支出</w:t>
      </w:r>
      <w:r>
        <w:rPr>
          <w:rFonts w:hint="eastAsia" w:eastAsia="仿宋_GB2312"/>
          <w:sz w:val="32"/>
          <w:szCs w:val="32"/>
          <w:u w:val="none"/>
          <w:lang w:val="en-US" w:eastAsia="zh-CN"/>
        </w:rPr>
        <w:t>5.00</w:t>
      </w:r>
      <w:r>
        <w:rPr>
          <w:rFonts w:eastAsia="仿宋_GB2312"/>
          <w:spacing w:val="-4"/>
          <w:sz w:val="32"/>
          <w:szCs w:val="32"/>
          <w:u w:val="none"/>
        </w:rPr>
        <w:t>万元，比上年预</w:t>
      </w:r>
      <w:r>
        <w:rPr>
          <w:rFonts w:eastAsia="仿宋_GB2312"/>
          <w:spacing w:val="-6"/>
          <w:sz w:val="32"/>
          <w:szCs w:val="32"/>
          <w:u w:val="none"/>
        </w:rPr>
        <w:t>算</w:t>
      </w:r>
      <w:r>
        <w:rPr>
          <w:rFonts w:hint="eastAsia" w:eastAsia="仿宋_GB2312"/>
          <w:spacing w:val="-6"/>
          <w:sz w:val="32"/>
          <w:szCs w:val="32"/>
          <w:u w:val="none"/>
          <w:lang w:eastAsia="zh-CN"/>
        </w:rPr>
        <w:t>增加</w:t>
      </w:r>
      <w:r>
        <w:rPr>
          <w:rFonts w:hint="eastAsia" w:eastAsia="仿宋_GB2312"/>
          <w:spacing w:val="-6"/>
          <w:sz w:val="32"/>
          <w:szCs w:val="32"/>
          <w:u w:val="none"/>
          <w:lang w:val="en-US" w:eastAsia="zh-CN"/>
        </w:rPr>
        <w:t>0</w:t>
      </w:r>
      <w:r>
        <w:rPr>
          <w:rFonts w:eastAsia="仿宋_GB2312"/>
          <w:spacing w:val="-6"/>
          <w:sz w:val="32"/>
          <w:szCs w:val="32"/>
          <w:u w:val="none"/>
        </w:rPr>
        <w:t>万元，</w:t>
      </w:r>
      <w:r>
        <w:rPr>
          <w:rFonts w:hint="eastAsia" w:eastAsia="仿宋_GB2312"/>
          <w:sz w:val="32"/>
          <w:szCs w:val="32"/>
          <w:u w:val="none"/>
          <w:lang w:eastAsia="zh-CN"/>
        </w:rPr>
        <w:t>增加</w:t>
      </w:r>
      <w:r>
        <w:rPr>
          <w:rFonts w:hint="eastAsia" w:eastAsia="仿宋_GB2312"/>
          <w:sz w:val="32"/>
          <w:szCs w:val="32"/>
          <w:u w:val="none"/>
          <w:lang w:val="en-US" w:eastAsia="zh-CN"/>
        </w:rPr>
        <w:t>0.00</w:t>
      </w:r>
      <w:r>
        <w:rPr>
          <w:rFonts w:eastAsia="仿宋_GB2312"/>
          <w:sz w:val="32"/>
          <w:szCs w:val="32"/>
          <w:u w:val="none"/>
        </w:rPr>
        <w:t>%</w:t>
      </w:r>
      <w:r>
        <w:rPr>
          <w:rFonts w:eastAsia="仿宋_GB2312"/>
          <w:spacing w:val="-6"/>
          <w:sz w:val="32"/>
          <w:szCs w:val="32"/>
          <w:u w:val="none"/>
        </w:rPr>
        <w:t>；</w:t>
      </w:r>
      <w:r>
        <w:rPr>
          <w:rFonts w:eastAsia="仿宋_GB2312"/>
          <w:spacing w:val="70"/>
          <w:sz w:val="32"/>
          <w:szCs w:val="32"/>
          <w:u w:val="none"/>
        </w:rPr>
        <w:t xml:space="preserve"> </w:t>
      </w:r>
      <w:r>
        <w:rPr>
          <w:rFonts w:eastAsia="仿宋_GB2312"/>
          <w:spacing w:val="-4"/>
          <w:sz w:val="32"/>
          <w:szCs w:val="32"/>
          <w:u w:val="none"/>
        </w:rPr>
        <w:t>其中：</w:t>
      </w:r>
    </w:p>
    <w:p w14:paraId="5BEBDBCD">
      <w:pPr>
        <w:pStyle w:val="8"/>
        <w:spacing w:after="0" w:line="600" w:lineRule="exact"/>
        <w:ind w:left="17" w:leftChars="8" w:firstLine="640" w:firstLineChars="200"/>
        <w:rPr>
          <w:rFonts w:eastAsia="仿宋_GB2312"/>
          <w:sz w:val="32"/>
          <w:szCs w:val="32"/>
          <w:u w:val="none"/>
        </w:rPr>
      </w:pPr>
      <w:r>
        <w:rPr>
          <w:rFonts w:eastAsia="仿宋_GB2312"/>
          <w:sz w:val="32"/>
          <w:szCs w:val="32"/>
          <w:u w:val="none"/>
        </w:rPr>
        <w:t>1．因公出国（境）费预算支出</w:t>
      </w:r>
      <w:r>
        <w:rPr>
          <w:rFonts w:hint="eastAsia" w:eastAsia="仿宋_GB2312"/>
          <w:sz w:val="32"/>
          <w:szCs w:val="32"/>
          <w:u w:val="none"/>
          <w:lang w:val="en-US" w:eastAsia="zh-CN"/>
        </w:rPr>
        <w:t>0</w:t>
      </w:r>
      <w:r>
        <w:rPr>
          <w:rFonts w:eastAsia="仿宋_GB2312"/>
          <w:sz w:val="32"/>
          <w:szCs w:val="32"/>
          <w:u w:val="none"/>
        </w:rPr>
        <w:t>万元，比上年预算增加</w:t>
      </w:r>
      <w:r>
        <w:rPr>
          <w:rFonts w:hint="eastAsia" w:eastAsia="仿宋_GB2312"/>
          <w:sz w:val="32"/>
          <w:szCs w:val="32"/>
          <w:u w:val="none"/>
          <w:lang w:val="en-US" w:eastAsia="zh-CN"/>
        </w:rPr>
        <w:t>0</w:t>
      </w:r>
      <w:r>
        <w:rPr>
          <w:rFonts w:eastAsia="仿宋_GB2312"/>
          <w:sz w:val="32"/>
          <w:szCs w:val="32"/>
          <w:u w:val="none"/>
        </w:rPr>
        <w:t>万元，</w:t>
      </w:r>
      <w:r>
        <w:rPr>
          <w:rFonts w:hint="eastAsia" w:eastAsia="仿宋_GB2312"/>
          <w:sz w:val="32"/>
          <w:szCs w:val="32"/>
          <w:u w:val="none"/>
          <w:lang w:eastAsia="zh-CN"/>
        </w:rPr>
        <w:t>增加</w:t>
      </w:r>
      <w:r>
        <w:rPr>
          <w:rFonts w:hint="eastAsia" w:eastAsia="仿宋_GB2312"/>
          <w:sz w:val="32"/>
          <w:szCs w:val="32"/>
          <w:u w:val="none"/>
          <w:lang w:val="en-US" w:eastAsia="zh-CN"/>
        </w:rPr>
        <w:t>0%，</w:t>
      </w:r>
      <w:r>
        <w:rPr>
          <w:rFonts w:eastAsia="仿宋_GB2312"/>
          <w:sz w:val="32"/>
          <w:szCs w:val="32"/>
          <w:u w:val="none"/>
        </w:rPr>
        <w:t>主要原因</w:t>
      </w:r>
      <w:r>
        <w:rPr>
          <w:rFonts w:ascii="仿宋" w:hAnsi="仿宋" w:eastAsia="仿宋" w:cs="仿宋"/>
          <w:spacing w:val="6"/>
          <w:sz w:val="31"/>
          <w:szCs w:val="31"/>
          <w:u w:val="none"/>
        </w:rPr>
        <w:t>不存在此项内容</w:t>
      </w:r>
      <w:r>
        <w:rPr>
          <w:rFonts w:eastAsia="仿宋_GB2312"/>
          <w:sz w:val="32"/>
          <w:szCs w:val="32"/>
          <w:u w:val="none"/>
        </w:rPr>
        <w:t>。</w:t>
      </w:r>
    </w:p>
    <w:p w14:paraId="3CD3B910">
      <w:pPr>
        <w:pStyle w:val="8"/>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2．公务用车购置及运行维护费预算支出</w:t>
      </w:r>
      <w:r>
        <w:rPr>
          <w:rFonts w:hint="eastAsia" w:eastAsia="仿宋_GB2312"/>
          <w:sz w:val="32"/>
          <w:szCs w:val="32"/>
          <w:u w:val="none"/>
          <w:lang w:val="en-US" w:eastAsia="zh-CN"/>
        </w:rPr>
        <w:t>5.00</w:t>
      </w:r>
      <w:r>
        <w:rPr>
          <w:rFonts w:eastAsia="仿宋_GB2312"/>
          <w:sz w:val="32"/>
          <w:szCs w:val="32"/>
          <w:u w:val="none"/>
        </w:rPr>
        <w:t>万元。其中：</w:t>
      </w:r>
      <w:r>
        <w:rPr>
          <w:rFonts w:eastAsia="仿宋_GB2312"/>
          <w:sz w:val="32"/>
          <w:szCs w:val="32"/>
          <w:u w:val="none"/>
        </w:rPr>
        <w:tab/>
      </w:r>
    </w:p>
    <w:p w14:paraId="697B8352">
      <w:pPr>
        <w:pStyle w:val="8"/>
        <w:spacing w:after="0" w:line="600" w:lineRule="exact"/>
        <w:ind w:firstLine="640" w:firstLineChars="200"/>
        <w:rPr>
          <w:rFonts w:eastAsia="仿宋_GB2312"/>
          <w:sz w:val="32"/>
          <w:szCs w:val="32"/>
          <w:u w:val="none"/>
        </w:rPr>
      </w:pPr>
      <w:r>
        <w:rPr>
          <w:rFonts w:eastAsia="仿宋_GB2312"/>
          <w:sz w:val="32"/>
          <w:szCs w:val="32"/>
          <w:u w:val="none"/>
        </w:rPr>
        <w:t>（1）公务用车购置预算支出</w:t>
      </w:r>
      <w:r>
        <w:rPr>
          <w:rFonts w:hint="eastAsia" w:eastAsia="仿宋_GB2312"/>
          <w:sz w:val="32"/>
          <w:szCs w:val="32"/>
          <w:u w:val="none"/>
          <w:lang w:val="en-US" w:eastAsia="zh-CN"/>
        </w:rPr>
        <w:t>0</w:t>
      </w:r>
      <w:r>
        <w:rPr>
          <w:rFonts w:eastAsia="仿宋_GB2312"/>
          <w:sz w:val="32"/>
          <w:szCs w:val="32"/>
          <w:u w:val="none"/>
        </w:rPr>
        <w:t>万元，比上年预算增加</w:t>
      </w:r>
      <w:r>
        <w:rPr>
          <w:rFonts w:hint="eastAsia" w:eastAsia="仿宋_GB2312"/>
          <w:sz w:val="32"/>
          <w:szCs w:val="32"/>
          <w:u w:val="none"/>
          <w:lang w:val="en-US" w:eastAsia="zh-CN"/>
        </w:rPr>
        <w:t>0</w:t>
      </w:r>
      <w:r>
        <w:rPr>
          <w:rFonts w:eastAsia="仿宋_GB2312"/>
          <w:sz w:val="32"/>
          <w:szCs w:val="32"/>
          <w:u w:val="none"/>
        </w:rPr>
        <w:t>万元，</w:t>
      </w:r>
      <w:r>
        <w:rPr>
          <w:rFonts w:hint="eastAsia" w:eastAsia="仿宋_GB2312"/>
          <w:sz w:val="32"/>
          <w:szCs w:val="32"/>
          <w:u w:val="none"/>
          <w:lang w:eastAsia="zh-CN"/>
        </w:rPr>
        <w:t>增加</w:t>
      </w:r>
      <w:r>
        <w:rPr>
          <w:rFonts w:hint="eastAsia" w:eastAsia="仿宋_GB2312"/>
          <w:sz w:val="32"/>
          <w:szCs w:val="32"/>
          <w:u w:val="none"/>
          <w:lang w:val="en-US" w:eastAsia="zh-CN"/>
        </w:rPr>
        <w:t>0%，</w:t>
      </w:r>
      <w:r>
        <w:rPr>
          <w:rFonts w:eastAsia="仿宋_GB2312"/>
          <w:sz w:val="32"/>
          <w:szCs w:val="32"/>
          <w:u w:val="none"/>
        </w:rPr>
        <w:t>主要原因</w:t>
      </w:r>
      <w:r>
        <w:rPr>
          <w:rFonts w:ascii="仿宋" w:hAnsi="仿宋" w:eastAsia="仿宋" w:cs="仿宋"/>
          <w:spacing w:val="6"/>
          <w:sz w:val="31"/>
          <w:szCs w:val="31"/>
          <w:u w:val="none"/>
        </w:rPr>
        <w:t>不存在此项内容</w:t>
      </w:r>
      <w:r>
        <w:rPr>
          <w:rFonts w:eastAsia="仿宋_GB2312"/>
          <w:sz w:val="32"/>
          <w:szCs w:val="32"/>
          <w:u w:val="none"/>
        </w:rPr>
        <w:t>。</w:t>
      </w:r>
    </w:p>
    <w:p w14:paraId="0BE4317F">
      <w:pPr>
        <w:pStyle w:val="8"/>
        <w:spacing w:after="0" w:line="600" w:lineRule="exact"/>
        <w:ind w:firstLine="640" w:firstLineChars="200"/>
        <w:rPr>
          <w:rFonts w:eastAsia="仿宋_GB2312"/>
          <w:sz w:val="32"/>
          <w:szCs w:val="32"/>
          <w:u w:val="none"/>
        </w:rPr>
      </w:pPr>
      <w:r>
        <w:rPr>
          <w:rFonts w:eastAsia="仿宋_GB2312"/>
          <w:sz w:val="32"/>
          <w:szCs w:val="32"/>
          <w:u w:val="none"/>
        </w:rPr>
        <w:t>（2）公务用车运行维护费预算支出</w:t>
      </w:r>
      <w:r>
        <w:rPr>
          <w:rFonts w:hint="eastAsia" w:eastAsia="仿宋_GB2312"/>
          <w:sz w:val="32"/>
          <w:szCs w:val="32"/>
          <w:u w:val="none"/>
          <w:lang w:val="en-US" w:eastAsia="zh-CN"/>
        </w:rPr>
        <w:t>5.00</w:t>
      </w:r>
      <w:r>
        <w:rPr>
          <w:rFonts w:eastAsia="仿宋_GB2312"/>
          <w:sz w:val="32"/>
          <w:szCs w:val="32"/>
          <w:u w:val="none"/>
        </w:rPr>
        <w:t>万元，比上年预算</w:t>
      </w:r>
      <w:r>
        <w:rPr>
          <w:rFonts w:hint="eastAsia" w:eastAsia="仿宋_GB2312"/>
          <w:spacing w:val="-6"/>
          <w:sz w:val="32"/>
          <w:szCs w:val="32"/>
          <w:u w:val="none"/>
          <w:lang w:eastAsia="zh-CN"/>
        </w:rPr>
        <w:t>增加</w:t>
      </w:r>
      <w:r>
        <w:rPr>
          <w:rFonts w:hint="eastAsia" w:eastAsia="仿宋_GB2312"/>
          <w:spacing w:val="-6"/>
          <w:sz w:val="32"/>
          <w:szCs w:val="32"/>
          <w:u w:val="none"/>
          <w:lang w:val="en-US" w:eastAsia="zh-CN"/>
        </w:rPr>
        <w:t>0</w:t>
      </w:r>
      <w:r>
        <w:rPr>
          <w:rFonts w:eastAsia="仿宋_GB2312"/>
          <w:spacing w:val="-6"/>
          <w:sz w:val="32"/>
          <w:szCs w:val="32"/>
          <w:u w:val="none"/>
        </w:rPr>
        <w:t>万元，</w:t>
      </w:r>
      <w:r>
        <w:rPr>
          <w:rFonts w:hint="eastAsia" w:eastAsia="仿宋_GB2312"/>
          <w:sz w:val="32"/>
          <w:szCs w:val="32"/>
          <w:u w:val="none"/>
          <w:lang w:eastAsia="zh-CN"/>
        </w:rPr>
        <w:t>增加</w:t>
      </w:r>
      <w:r>
        <w:rPr>
          <w:rFonts w:hint="eastAsia" w:eastAsia="仿宋_GB2312"/>
          <w:sz w:val="32"/>
          <w:szCs w:val="32"/>
          <w:u w:val="none"/>
          <w:lang w:val="en-US" w:eastAsia="zh-CN"/>
        </w:rPr>
        <w:t>0.00</w:t>
      </w:r>
      <w:r>
        <w:rPr>
          <w:rFonts w:eastAsia="仿宋_GB2312"/>
          <w:sz w:val="32"/>
          <w:szCs w:val="32"/>
          <w:u w:val="none"/>
        </w:rPr>
        <w:t>%</w:t>
      </w:r>
      <w:r>
        <w:rPr>
          <w:rFonts w:hint="eastAsia" w:eastAsia="仿宋_GB2312"/>
          <w:sz w:val="32"/>
          <w:szCs w:val="32"/>
          <w:u w:val="none"/>
          <w:lang w:val="en-US" w:eastAsia="zh-CN"/>
        </w:rPr>
        <w:t>，</w:t>
      </w:r>
      <w:r>
        <w:rPr>
          <w:rFonts w:eastAsia="仿宋_GB2312"/>
          <w:sz w:val="32"/>
          <w:szCs w:val="32"/>
          <w:u w:val="none"/>
        </w:rPr>
        <w:t>主要原因</w:t>
      </w:r>
      <w:r>
        <w:rPr>
          <w:rFonts w:hint="eastAsia" w:eastAsia="仿宋_GB2312"/>
          <w:sz w:val="32"/>
          <w:szCs w:val="32"/>
          <w:u w:val="none"/>
          <w:lang w:eastAsia="zh-CN"/>
        </w:rPr>
        <w:t>是本年</w:t>
      </w:r>
      <w:r>
        <w:rPr>
          <w:rFonts w:hint="eastAsia" w:eastAsia="仿宋_GB2312" w:cs="Times New Roman"/>
          <w:sz w:val="32"/>
          <w:szCs w:val="32"/>
          <w:u w:val="none"/>
          <w:lang w:eastAsia="zh-CN"/>
        </w:rPr>
        <w:t>预算收入与上年相比无变动。</w:t>
      </w:r>
    </w:p>
    <w:p w14:paraId="75B63606">
      <w:pPr>
        <w:pStyle w:val="8"/>
        <w:spacing w:after="0" w:line="600" w:lineRule="exact"/>
        <w:ind w:firstLine="640" w:firstLineChars="200"/>
        <w:rPr>
          <w:rFonts w:eastAsia="仿宋_GB2312"/>
          <w:sz w:val="32"/>
          <w:szCs w:val="32"/>
          <w:u w:val="none"/>
        </w:rPr>
      </w:pPr>
      <w:r>
        <w:rPr>
          <w:rFonts w:eastAsia="仿宋_GB2312"/>
          <w:sz w:val="32"/>
          <w:szCs w:val="32"/>
          <w:u w:val="none"/>
        </w:rPr>
        <w:t>3．公务接待费预算支出</w:t>
      </w:r>
      <w:r>
        <w:rPr>
          <w:rFonts w:hint="eastAsia" w:eastAsia="仿宋_GB2312"/>
          <w:sz w:val="32"/>
          <w:szCs w:val="32"/>
          <w:u w:val="none"/>
          <w:lang w:val="en-US" w:eastAsia="zh-CN"/>
        </w:rPr>
        <w:t>0</w:t>
      </w:r>
      <w:r>
        <w:rPr>
          <w:rFonts w:eastAsia="仿宋_GB2312"/>
          <w:sz w:val="32"/>
          <w:szCs w:val="32"/>
          <w:u w:val="none"/>
        </w:rPr>
        <w:t>万元，比上年预算增加</w:t>
      </w:r>
      <w:r>
        <w:rPr>
          <w:rFonts w:hint="eastAsia" w:eastAsia="仿宋_GB2312"/>
          <w:sz w:val="32"/>
          <w:szCs w:val="32"/>
          <w:u w:val="none"/>
          <w:lang w:val="en-US" w:eastAsia="zh-CN"/>
        </w:rPr>
        <w:t>0</w:t>
      </w:r>
      <w:r>
        <w:rPr>
          <w:rFonts w:eastAsia="仿宋_GB2312"/>
          <w:sz w:val="32"/>
          <w:szCs w:val="32"/>
          <w:u w:val="none"/>
        </w:rPr>
        <w:t>万元，</w:t>
      </w:r>
      <w:r>
        <w:rPr>
          <w:rFonts w:hint="eastAsia" w:eastAsia="仿宋_GB2312"/>
          <w:sz w:val="32"/>
          <w:szCs w:val="32"/>
          <w:u w:val="none"/>
          <w:lang w:eastAsia="zh-CN"/>
        </w:rPr>
        <w:t>增加</w:t>
      </w:r>
      <w:r>
        <w:rPr>
          <w:rFonts w:hint="eastAsia" w:eastAsia="仿宋_GB2312"/>
          <w:sz w:val="32"/>
          <w:szCs w:val="32"/>
          <w:u w:val="none"/>
          <w:lang w:val="en-US" w:eastAsia="zh-CN"/>
        </w:rPr>
        <w:t>0%，</w:t>
      </w:r>
      <w:r>
        <w:rPr>
          <w:rFonts w:eastAsia="仿宋_GB2312"/>
          <w:sz w:val="32"/>
          <w:szCs w:val="32"/>
          <w:u w:val="none"/>
        </w:rPr>
        <w:t>主要原因</w:t>
      </w:r>
      <w:r>
        <w:rPr>
          <w:rFonts w:ascii="仿宋" w:hAnsi="仿宋" w:eastAsia="仿宋" w:cs="仿宋"/>
          <w:spacing w:val="6"/>
          <w:sz w:val="31"/>
          <w:szCs w:val="31"/>
          <w:u w:val="none"/>
        </w:rPr>
        <w:t>不存在此项内容</w:t>
      </w:r>
      <w:r>
        <w:rPr>
          <w:rFonts w:eastAsia="仿宋_GB2312"/>
          <w:sz w:val="32"/>
          <w:szCs w:val="32"/>
          <w:u w:val="none"/>
        </w:rPr>
        <w:t>。</w:t>
      </w:r>
    </w:p>
    <w:p w14:paraId="32AE096C">
      <w:pPr>
        <w:spacing w:line="600" w:lineRule="exact"/>
        <w:ind w:firstLine="640" w:firstLineChars="200"/>
        <w:outlineLvl w:val="0"/>
        <w:rPr>
          <w:rFonts w:eastAsia="黑体" w:cs="黑体"/>
          <w:sz w:val="32"/>
          <w:szCs w:val="36"/>
          <w:u w:val="none"/>
        </w:rPr>
      </w:pPr>
      <w:r>
        <w:rPr>
          <w:rFonts w:hint="eastAsia" w:eastAsia="黑体" w:cs="黑体"/>
          <w:sz w:val="32"/>
          <w:szCs w:val="36"/>
          <w:u w:val="none"/>
        </w:rPr>
        <w:t>八、政府性基金预算支出预算情况说明</w:t>
      </w:r>
    </w:p>
    <w:p w14:paraId="630029BB">
      <w:pPr>
        <w:pStyle w:val="8"/>
        <w:tabs>
          <w:tab w:val="left" w:pos="2671"/>
          <w:tab w:val="left" w:pos="5000"/>
          <w:tab w:val="left" w:pos="6190"/>
        </w:tabs>
        <w:spacing w:after="0" w:line="600" w:lineRule="exact"/>
        <w:ind w:firstLine="656" w:firstLineChars="200"/>
        <w:jc w:val="both"/>
        <w:rPr>
          <w:rFonts w:eastAsia="仿宋_GB2312"/>
          <w:sz w:val="32"/>
          <w:szCs w:val="32"/>
          <w:u w:val="none"/>
        </w:rPr>
      </w:pPr>
      <w:r>
        <w:rPr>
          <w:rFonts w:hint="eastAsia" w:ascii="仿宋" w:hAnsi="仿宋" w:eastAsia="仿宋" w:cs="仿宋"/>
          <w:spacing w:val="9"/>
          <w:sz w:val="31"/>
          <w:szCs w:val="31"/>
          <w:u w:val="none"/>
          <w:lang w:eastAsia="zh-CN"/>
        </w:rPr>
        <w:t>包头市商务局部门</w:t>
      </w:r>
      <w:r>
        <w:rPr>
          <w:rFonts w:hint="eastAsia" w:eastAsia="仿宋_GB2312"/>
          <w:sz w:val="32"/>
          <w:szCs w:val="32"/>
          <w:u w:val="none"/>
          <w:lang w:val="en-US" w:eastAsia="zh-CN"/>
        </w:rPr>
        <w:t>2026</w:t>
      </w:r>
      <w:r>
        <w:rPr>
          <w:rFonts w:eastAsia="仿宋_GB2312"/>
          <w:sz w:val="32"/>
          <w:szCs w:val="32"/>
          <w:u w:val="none"/>
        </w:rPr>
        <w:t>年政府性基金支出预算支出</w:t>
      </w:r>
      <w:r>
        <w:rPr>
          <w:rFonts w:hint="eastAsia" w:eastAsia="仿宋_GB2312"/>
          <w:sz w:val="32"/>
          <w:szCs w:val="32"/>
          <w:u w:val="none"/>
          <w:lang w:val="en-US" w:eastAsia="zh-CN"/>
        </w:rPr>
        <w:t>0</w:t>
      </w:r>
      <w:r>
        <w:rPr>
          <w:rFonts w:eastAsia="仿宋_GB2312"/>
          <w:sz w:val="32"/>
          <w:szCs w:val="32"/>
          <w:u w:val="none"/>
        </w:rPr>
        <w:t>万元。与上年相比增加</w:t>
      </w:r>
      <w:r>
        <w:rPr>
          <w:rFonts w:hint="eastAsia" w:eastAsia="仿宋_GB2312"/>
          <w:sz w:val="32"/>
          <w:szCs w:val="32"/>
          <w:u w:val="none"/>
          <w:lang w:val="en-US" w:eastAsia="zh-CN"/>
        </w:rPr>
        <w:t>0</w:t>
      </w:r>
      <w:r>
        <w:rPr>
          <w:rFonts w:eastAsia="仿宋_GB2312"/>
          <w:sz w:val="32"/>
          <w:szCs w:val="32"/>
          <w:u w:val="none"/>
        </w:rPr>
        <w:t>万元，增长</w:t>
      </w:r>
      <w:r>
        <w:rPr>
          <w:rFonts w:hint="eastAsia" w:eastAsia="仿宋_GB2312"/>
          <w:sz w:val="32"/>
          <w:szCs w:val="32"/>
          <w:u w:val="none"/>
          <w:lang w:val="en-US" w:eastAsia="zh-CN"/>
        </w:rPr>
        <w:t>0</w:t>
      </w:r>
      <w:r>
        <w:rPr>
          <w:rFonts w:eastAsia="仿宋_GB2312"/>
          <w:sz w:val="32"/>
          <w:szCs w:val="32"/>
          <w:u w:val="none"/>
        </w:rPr>
        <w:t>%。主要原因是</w:t>
      </w:r>
      <w:r>
        <w:rPr>
          <w:rFonts w:hint="eastAsia" w:ascii="Times New Roman" w:hAnsi="Times New Roman" w:eastAsia="仿宋_GB2312" w:cs="Times New Roman"/>
          <w:kern w:val="2"/>
          <w:sz w:val="32"/>
          <w:szCs w:val="32"/>
          <w:u w:val="none"/>
          <w:lang w:val="en-US" w:eastAsia="zh-CN" w:bidi="ar-SA"/>
        </w:rPr>
        <w:t>本年无政府性基金预算。</w:t>
      </w:r>
    </w:p>
    <w:p w14:paraId="109FB56B">
      <w:pPr>
        <w:spacing w:line="600" w:lineRule="exact"/>
        <w:ind w:firstLine="640" w:firstLineChars="200"/>
        <w:outlineLvl w:val="0"/>
        <w:rPr>
          <w:rFonts w:eastAsia="黑体" w:cs="黑体"/>
          <w:sz w:val="32"/>
          <w:szCs w:val="36"/>
          <w:u w:val="none"/>
        </w:rPr>
      </w:pPr>
      <w:r>
        <w:rPr>
          <w:rFonts w:hint="eastAsia" w:eastAsia="黑体" w:cs="黑体"/>
          <w:sz w:val="32"/>
          <w:szCs w:val="36"/>
          <w:u w:val="none"/>
        </w:rPr>
        <w:t>九、国有资本经营预算支出预算情况说明</w:t>
      </w:r>
    </w:p>
    <w:p w14:paraId="1FE7C81F">
      <w:pPr>
        <w:spacing w:line="600" w:lineRule="exact"/>
        <w:ind w:firstLine="656" w:firstLineChars="200"/>
        <w:jc w:val="both"/>
        <w:rPr>
          <w:rFonts w:eastAsia="仿宋_GB2312" w:cstheme="minorBidi"/>
          <w:sz w:val="32"/>
          <w:szCs w:val="32"/>
          <w:u w:val="none"/>
        </w:rPr>
      </w:pPr>
      <w:r>
        <w:rPr>
          <w:rFonts w:hint="eastAsia" w:ascii="仿宋" w:hAnsi="仿宋" w:eastAsia="仿宋" w:cs="仿宋"/>
          <w:spacing w:val="9"/>
          <w:sz w:val="31"/>
          <w:szCs w:val="31"/>
          <w:u w:val="none"/>
          <w:lang w:eastAsia="zh-CN"/>
        </w:rPr>
        <w:t>包头市商务局部门</w:t>
      </w:r>
      <w:r>
        <w:rPr>
          <w:rFonts w:hint="eastAsia" w:eastAsia="仿宋_GB2312" w:cstheme="minorBidi"/>
          <w:sz w:val="32"/>
          <w:szCs w:val="32"/>
          <w:u w:val="none"/>
          <w:lang w:val="en-US" w:eastAsia="zh-CN"/>
        </w:rPr>
        <w:t>2026</w:t>
      </w:r>
      <w:r>
        <w:rPr>
          <w:rFonts w:hint="eastAsia" w:eastAsia="仿宋_GB2312" w:cstheme="minorBidi"/>
          <w:sz w:val="32"/>
          <w:szCs w:val="32"/>
          <w:u w:val="none"/>
        </w:rPr>
        <w:t>年国有资本经营预算支出</w:t>
      </w:r>
      <w:r>
        <w:rPr>
          <w:rFonts w:hint="eastAsia" w:eastAsia="仿宋_GB2312" w:cstheme="minorBidi"/>
          <w:sz w:val="32"/>
          <w:szCs w:val="32"/>
          <w:u w:val="none"/>
          <w:lang w:val="en-US" w:eastAsia="zh-CN"/>
        </w:rPr>
        <w:t>0</w:t>
      </w:r>
      <w:r>
        <w:rPr>
          <w:rFonts w:hint="eastAsia" w:eastAsia="仿宋_GB2312" w:cstheme="minorBidi"/>
          <w:sz w:val="32"/>
          <w:szCs w:val="32"/>
          <w:u w:val="none"/>
        </w:rPr>
        <w:t>万元。与上年相比增加</w:t>
      </w:r>
      <w:r>
        <w:rPr>
          <w:rFonts w:hint="eastAsia" w:eastAsia="仿宋_GB2312" w:cstheme="minorBidi"/>
          <w:sz w:val="32"/>
          <w:szCs w:val="32"/>
          <w:u w:val="none"/>
          <w:lang w:val="en-US" w:eastAsia="zh-CN"/>
        </w:rPr>
        <w:t>0</w:t>
      </w:r>
      <w:r>
        <w:rPr>
          <w:rFonts w:hint="eastAsia" w:eastAsia="仿宋_GB2312" w:cstheme="minorBidi"/>
          <w:sz w:val="32"/>
          <w:szCs w:val="32"/>
          <w:u w:val="none"/>
        </w:rPr>
        <w:t>万元，增长</w:t>
      </w:r>
      <w:r>
        <w:rPr>
          <w:rFonts w:hint="eastAsia" w:eastAsia="仿宋_GB2312" w:cstheme="minorBidi"/>
          <w:sz w:val="32"/>
          <w:szCs w:val="32"/>
          <w:u w:val="none"/>
          <w:lang w:val="en-US" w:eastAsia="zh-CN"/>
        </w:rPr>
        <w:t>0</w:t>
      </w:r>
      <w:r>
        <w:rPr>
          <w:rFonts w:hint="eastAsia" w:eastAsia="仿宋_GB2312" w:cstheme="minorBidi"/>
          <w:sz w:val="32"/>
          <w:szCs w:val="32"/>
          <w:u w:val="none"/>
        </w:rPr>
        <w:t>%。主要原因是</w:t>
      </w:r>
      <w:r>
        <w:rPr>
          <w:rFonts w:hint="eastAsia" w:ascii="Times New Roman" w:hAnsi="Times New Roman" w:eastAsia="仿宋_GB2312" w:cs="Times New Roman"/>
          <w:kern w:val="2"/>
          <w:sz w:val="32"/>
          <w:szCs w:val="32"/>
          <w:u w:val="none"/>
          <w:lang w:val="en-US" w:eastAsia="zh-CN" w:bidi="ar-SA"/>
        </w:rPr>
        <w:t>本年无国有资本经营预算。</w:t>
      </w:r>
    </w:p>
    <w:p w14:paraId="49361378">
      <w:pPr>
        <w:spacing w:line="600" w:lineRule="exact"/>
        <w:ind w:firstLine="640" w:firstLineChars="200"/>
        <w:rPr>
          <w:i/>
          <w:iCs/>
          <w:highlight w:val="none"/>
          <w:u w:val="none"/>
        </w:rPr>
      </w:pPr>
      <w:r>
        <w:rPr>
          <w:rFonts w:hint="eastAsia" w:eastAsia="黑体" w:cs="黑体"/>
          <w:sz w:val="32"/>
          <w:szCs w:val="36"/>
          <w:highlight w:val="none"/>
          <w:u w:val="none"/>
        </w:rPr>
        <w:t>十、项目支出预算情况说明</w:t>
      </w:r>
    </w:p>
    <w:p w14:paraId="6F196EF3">
      <w:pPr>
        <w:spacing w:line="600" w:lineRule="exact"/>
        <w:ind w:firstLine="640" w:firstLineChars="200"/>
        <w:rPr>
          <w:rFonts w:eastAsia="仿宋_GB2312"/>
          <w:sz w:val="32"/>
          <w:szCs w:val="32"/>
          <w:u w:val="none"/>
        </w:rPr>
      </w:pPr>
      <w:r>
        <w:rPr>
          <w:rFonts w:hint="eastAsia" w:eastAsia="仿宋_GB2312"/>
          <w:sz w:val="32"/>
          <w:szCs w:val="32"/>
          <w:u w:val="none"/>
          <w:lang w:val="en-US" w:eastAsia="zh-CN"/>
        </w:rPr>
        <w:t>2026</w:t>
      </w:r>
      <w:r>
        <w:rPr>
          <w:rFonts w:eastAsia="仿宋_GB2312"/>
          <w:sz w:val="32"/>
          <w:szCs w:val="32"/>
          <w:u w:val="none"/>
        </w:rPr>
        <w:t>年部门预算安排项目</w:t>
      </w:r>
      <w:r>
        <w:rPr>
          <w:rFonts w:hint="eastAsia" w:eastAsia="仿宋_GB2312"/>
          <w:sz w:val="32"/>
          <w:szCs w:val="32"/>
          <w:u w:val="none"/>
          <w:lang w:val="en-US" w:eastAsia="zh-CN"/>
        </w:rPr>
        <w:t>7</w:t>
      </w:r>
      <w:r>
        <w:rPr>
          <w:rFonts w:eastAsia="仿宋_GB2312"/>
          <w:sz w:val="32"/>
          <w:szCs w:val="32"/>
          <w:u w:val="none"/>
        </w:rPr>
        <w:t>个，项目预算总金额</w:t>
      </w:r>
      <w:r>
        <w:rPr>
          <w:rFonts w:hint="eastAsia" w:eastAsia="仿宋_GB2312"/>
          <w:sz w:val="32"/>
          <w:szCs w:val="32"/>
          <w:u w:val="none"/>
          <w:lang w:val="en-US" w:eastAsia="zh-CN"/>
        </w:rPr>
        <w:t>402.72</w:t>
      </w:r>
      <w:r>
        <w:rPr>
          <w:rFonts w:eastAsia="仿宋_GB2312"/>
          <w:sz w:val="32"/>
          <w:szCs w:val="32"/>
          <w:u w:val="none"/>
        </w:rPr>
        <w:t>万元。其中，财政本年拨款金额</w:t>
      </w:r>
      <w:r>
        <w:rPr>
          <w:rFonts w:hint="eastAsia" w:eastAsia="仿宋_GB2312"/>
          <w:sz w:val="32"/>
          <w:szCs w:val="32"/>
          <w:u w:val="none"/>
          <w:lang w:val="en-US" w:eastAsia="zh-CN"/>
        </w:rPr>
        <w:t>402.72</w:t>
      </w:r>
      <w:r>
        <w:rPr>
          <w:rFonts w:eastAsia="仿宋_GB2312"/>
          <w:sz w:val="32"/>
          <w:szCs w:val="32"/>
          <w:u w:val="none"/>
        </w:rPr>
        <w:t>万元，财政拨款结转结余</w:t>
      </w:r>
      <w:r>
        <w:rPr>
          <w:rFonts w:hint="eastAsia" w:eastAsia="仿宋_GB2312"/>
          <w:sz w:val="32"/>
          <w:szCs w:val="32"/>
          <w:u w:val="none"/>
          <w:lang w:val="en-US" w:eastAsia="zh-CN"/>
        </w:rPr>
        <w:t>0</w:t>
      </w:r>
      <w:r>
        <w:rPr>
          <w:rFonts w:eastAsia="仿宋_GB2312"/>
          <w:sz w:val="32"/>
          <w:szCs w:val="32"/>
          <w:u w:val="none"/>
        </w:rPr>
        <w:t>万元，财政专户管理资金</w:t>
      </w:r>
      <w:r>
        <w:rPr>
          <w:rFonts w:hint="eastAsia" w:eastAsia="仿宋_GB2312"/>
          <w:sz w:val="32"/>
          <w:szCs w:val="32"/>
          <w:u w:val="none"/>
          <w:lang w:val="en-US" w:eastAsia="zh-CN"/>
        </w:rPr>
        <w:t>0</w:t>
      </w:r>
      <w:r>
        <w:rPr>
          <w:rFonts w:eastAsia="仿宋_GB2312"/>
          <w:sz w:val="32"/>
          <w:szCs w:val="32"/>
          <w:u w:val="none"/>
        </w:rPr>
        <w:t>万元，单位资金</w:t>
      </w:r>
      <w:r>
        <w:rPr>
          <w:rFonts w:hint="eastAsia" w:eastAsia="仿宋_GB2312"/>
          <w:sz w:val="32"/>
          <w:szCs w:val="32"/>
          <w:u w:val="none"/>
          <w:lang w:val="en-US" w:eastAsia="zh-CN"/>
        </w:rPr>
        <w:t>0</w:t>
      </w:r>
      <w:r>
        <w:rPr>
          <w:rFonts w:eastAsia="仿宋_GB2312"/>
          <w:sz w:val="32"/>
          <w:szCs w:val="32"/>
          <w:u w:val="none"/>
        </w:rPr>
        <w:t>万元。</w:t>
      </w:r>
    </w:p>
    <w:p w14:paraId="5777AB47">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（一）包头市冬春蔬菜储备项目</w:t>
      </w:r>
    </w:p>
    <w:p w14:paraId="6A3E71C0">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1.项目概述</w:t>
      </w:r>
    </w:p>
    <w:p w14:paraId="1F34FA35">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本项目主要用于2026年包头市冬春蔬菜储备费用。</w:t>
      </w:r>
    </w:p>
    <w:p w14:paraId="177E97A2">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2.立项依据</w:t>
      </w:r>
    </w:p>
    <w:p w14:paraId="7A4439FB">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根据《国家发改委、财政部、农业部、商务部关于建立北方大城 市冬春蔬菜储备制度的通知》，按照包头市政府相关规定，确立完善包头市冬春蔬菜储备制度，保障市场平稳、保障民生，确保我市蔬菜市场价格平稳、市场供应充足，可以应对社会突发事件。</w:t>
      </w:r>
    </w:p>
    <w:p w14:paraId="6152FC65">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3.实施主体</w:t>
      </w:r>
    </w:p>
    <w:p w14:paraId="04AE2350">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包头市商务局</w:t>
      </w:r>
    </w:p>
    <w:p w14:paraId="6039A913">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4.实施方案</w:t>
      </w:r>
    </w:p>
    <w:p w14:paraId="52BB50E9">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根据市场价格，确定包头市202</w:t>
      </w:r>
      <w:r>
        <w:rPr>
          <w:rFonts w:hint="eastAsia" w:eastAsia="仿宋_GB2312" w:cs="Times New Roman"/>
          <w:kern w:val="2"/>
          <w:sz w:val="32"/>
          <w:szCs w:val="32"/>
          <w:u w:val="none"/>
          <w:lang w:val="en-US" w:eastAsia="zh-CN" w:bidi="ar-SA"/>
        </w:rPr>
        <w:t>6</w:t>
      </w:r>
      <w:r>
        <w:rPr>
          <w:rFonts w:hint="eastAsia" w:ascii="Times New Roman" w:hAnsi="Times New Roman" w:eastAsia="仿宋_GB2312" w:cs="Times New Roman"/>
          <w:kern w:val="2"/>
          <w:sz w:val="32"/>
          <w:szCs w:val="32"/>
          <w:u w:val="none"/>
          <w:lang w:val="en-US" w:eastAsia="zh-CN" w:bidi="ar-SA"/>
        </w:rPr>
        <w:t>年冬春蔬菜储备6000吨，每吨储备费用200元，共需蔬菜储备费用120万元。</w:t>
      </w:r>
    </w:p>
    <w:p w14:paraId="60D5341E">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5.实施周期</w:t>
      </w:r>
    </w:p>
    <w:p w14:paraId="1FEB04AC">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自202</w:t>
      </w:r>
      <w:r>
        <w:rPr>
          <w:rFonts w:hint="eastAsia" w:eastAsia="仿宋_GB2312" w:cs="Times New Roman"/>
          <w:kern w:val="2"/>
          <w:sz w:val="32"/>
          <w:szCs w:val="32"/>
          <w:u w:val="none"/>
          <w:lang w:val="en-US" w:eastAsia="zh-CN" w:bidi="ar-SA"/>
        </w:rPr>
        <w:t>5</w:t>
      </w:r>
      <w:r>
        <w:rPr>
          <w:rFonts w:hint="eastAsia" w:ascii="Times New Roman" w:hAnsi="Times New Roman" w:eastAsia="仿宋_GB2312" w:cs="Times New Roman"/>
          <w:kern w:val="2"/>
          <w:sz w:val="32"/>
          <w:szCs w:val="32"/>
          <w:u w:val="none"/>
          <w:lang w:val="en-US" w:eastAsia="zh-CN" w:bidi="ar-SA"/>
        </w:rPr>
        <w:t>年11月1日至2026年12月31日。</w:t>
      </w:r>
    </w:p>
    <w:p w14:paraId="5036C4AD">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6.年度预算安排</w:t>
      </w:r>
    </w:p>
    <w:p w14:paraId="218CEF30">
      <w:pPr>
        <w:pBdr>
          <w:bottom w:val="single" w:color="FFFFFF" w:sz="4" w:space="30"/>
        </w:pBdr>
        <w:snapToGrid w:val="0"/>
        <w:spacing w:line="600" w:lineRule="exact"/>
        <w:ind w:firstLine="640" w:firstLineChars="200"/>
        <w:jc w:val="both"/>
        <w:rPr>
          <w:rFonts w:hint="eastAsia"/>
          <w:lang w:val="en-US" w:eastAsia="zh-CN"/>
        </w:rPr>
      </w:pPr>
      <w:r>
        <w:rPr>
          <w:rFonts w:hint="eastAsia" w:ascii="Times New Roman" w:hAnsi="Times New Roman" w:eastAsia="仿宋_GB2312" w:cs="Times New Roman"/>
          <w:kern w:val="2"/>
          <w:sz w:val="32"/>
          <w:szCs w:val="32"/>
          <w:u w:val="none"/>
          <w:lang w:val="en-US" w:eastAsia="zh-CN" w:bidi="ar-SA"/>
        </w:rPr>
        <w:t>2026年包头市冬春蔬菜储备项目预算120万元。</w:t>
      </w:r>
    </w:p>
    <w:p w14:paraId="649CEBD0">
      <w:pPr>
        <w:numPr>
          <w:ilvl w:val="0"/>
          <w:numId w:val="6"/>
        </w:numPr>
        <w:pBdr>
          <w:bottom w:val="single" w:color="FFFFFF" w:sz="4" w:space="30"/>
        </w:pBdr>
        <w:snapToGrid w:val="0"/>
        <w:spacing w:line="600" w:lineRule="exact"/>
        <w:ind w:left="0" w:leftChars="0"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全市电子商务大数据产品服务项目</w:t>
      </w:r>
    </w:p>
    <w:p w14:paraId="3CDDFFF0">
      <w:pPr>
        <w:numPr>
          <w:ilvl w:val="0"/>
          <w:numId w:val="0"/>
        </w:numPr>
        <w:pBdr>
          <w:bottom w:val="single" w:color="FFFFFF" w:sz="4" w:space="30"/>
        </w:pBdr>
        <w:snapToGrid w:val="0"/>
        <w:spacing w:line="240" w:lineRule="auto"/>
        <w:ind w:left="0" w:leftChars="0"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1.项目概述</w:t>
      </w:r>
    </w:p>
    <w:p w14:paraId="7769ACC8">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本项目主要用于202</w:t>
      </w:r>
      <w:r>
        <w:rPr>
          <w:rFonts w:hint="eastAsia" w:eastAsia="仿宋_GB2312" w:cs="Times New Roman"/>
          <w:kern w:val="2"/>
          <w:sz w:val="32"/>
          <w:szCs w:val="32"/>
          <w:u w:val="none"/>
          <w:lang w:val="en-US" w:eastAsia="zh-CN" w:bidi="ar-SA"/>
        </w:rPr>
        <w:t>6</w:t>
      </w:r>
      <w:r>
        <w:rPr>
          <w:rFonts w:hint="eastAsia" w:ascii="Times New Roman" w:hAnsi="Times New Roman" w:eastAsia="仿宋_GB2312" w:cs="Times New Roman"/>
          <w:kern w:val="2"/>
          <w:sz w:val="32"/>
          <w:szCs w:val="32"/>
          <w:u w:val="none"/>
          <w:lang w:val="en-US" w:eastAsia="zh-CN" w:bidi="ar-SA"/>
        </w:rPr>
        <w:t>年全市电子商务大数据产品服务经费。</w:t>
      </w:r>
    </w:p>
    <w:p w14:paraId="235242DF">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2.立项依据</w:t>
      </w:r>
    </w:p>
    <w:p w14:paraId="0DFE851D">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用于全市统计监测电子商务整体交易及走势， 网络交易额及同比 增长率， 网络交易额全自治区排名，网络零售额及同比增长率， 网络 零售额全自治区排名，实物型网络零售额及全自治区排名，服务型网络零售额及全省排名。</w:t>
      </w:r>
    </w:p>
    <w:p w14:paraId="17252240">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3.实施主体</w:t>
      </w:r>
    </w:p>
    <w:p w14:paraId="6D09DEB2">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包头市商务局</w:t>
      </w:r>
    </w:p>
    <w:p w14:paraId="03F24EF0">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4.实施方案</w:t>
      </w:r>
    </w:p>
    <w:p w14:paraId="39C53E96">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本项目主要用于全市电子商务大数据产品服务的支付。</w:t>
      </w:r>
    </w:p>
    <w:p w14:paraId="5B81B019">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5.实施周期</w:t>
      </w:r>
    </w:p>
    <w:p w14:paraId="3CA4A8E0">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自202</w:t>
      </w:r>
      <w:r>
        <w:rPr>
          <w:rFonts w:hint="eastAsia" w:eastAsia="仿宋_GB2312" w:cs="Times New Roman"/>
          <w:kern w:val="2"/>
          <w:sz w:val="32"/>
          <w:szCs w:val="32"/>
          <w:u w:val="none"/>
          <w:lang w:val="en-US" w:eastAsia="zh-CN" w:bidi="ar-SA"/>
        </w:rPr>
        <w:t>6</w:t>
      </w:r>
      <w:r>
        <w:rPr>
          <w:rFonts w:hint="eastAsia" w:ascii="Times New Roman" w:hAnsi="Times New Roman" w:eastAsia="仿宋_GB2312" w:cs="Times New Roman"/>
          <w:kern w:val="2"/>
          <w:sz w:val="32"/>
          <w:szCs w:val="32"/>
          <w:u w:val="none"/>
          <w:lang w:val="en-US" w:eastAsia="zh-CN" w:bidi="ar-SA"/>
        </w:rPr>
        <w:t>年1月1日至202</w:t>
      </w:r>
      <w:r>
        <w:rPr>
          <w:rFonts w:hint="eastAsia" w:eastAsia="仿宋_GB2312" w:cs="Times New Roman"/>
          <w:kern w:val="2"/>
          <w:sz w:val="32"/>
          <w:szCs w:val="32"/>
          <w:u w:val="none"/>
          <w:lang w:val="en-US" w:eastAsia="zh-CN" w:bidi="ar-SA"/>
        </w:rPr>
        <w:t>6</w:t>
      </w:r>
      <w:r>
        <w:rPr>
          <w:rFonts w:hint="eastAsia" w:ascii="Times New Roman" w:hAnsi="Times New Roman" w:eastAsia="仿宋_GB2312" w:cs="Times New Roman"/>
          <w:kern w:val="2"/>
          <w:sz w:val="32"/>
          <w:szCs w:val="32"/>
          <w:u w:val="none"/>
          <w:lang w:val="en-US" w:eastAsia="zh-CN" w:bidi="ar-SA"/>
        </w:rPr>
        <w:t>年12月31日。</w:t>
      </w:r>
    </w:p>
    <w:p w14:paraId="5EFBB899">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6.年度预算安排</w:t>
      </w:r>
    </w:p>
    <w:p w14:paraId="14A87D1D">
      <w:pPr>
        <w:pBdr>
          <w:bottom w:val="single" w:color="FFFFFF" w:sz="4" w:space="30"/>
        </w:pBdr>
        <w:snapToGrid w:val="0"/>
        <w:spacing w:line="600" w:lineRule="exact"/>
        <w:ind w:firstLine="640" w:firstLineChars="200"/>
        <w:jc w:val="both"/>
        <w:rPr>
          <w:rFonts w:hint="eastAsia"/>
          <w:lang w:val="en-US" w:eastAsia="zh-CN"/>
        </w:rPr>
      </w:pPr>
      <w:r>
        <w:rPr>
          <w:rFonts w:hint="eastAsia" w:ascii="Times New Roman" w:hAnsi="Times New Roman" w:eastAsia="仿宋_GB2312" w:cs="Times New Roman"/>
          <w:kern w:val="2"/>
          <w:sz w:val="32"/>
          <w:szCs w:val="32"/>
          <w:u w:val="none"/>
          <w:lang w:val="en-US" w:eastAsia="zh-CN" w:bidi="ar-SA"/>
        </w:rPr>
        <w:t>202</w:t>
      </w:r>
      <w:r>
        <w:rPr>
          <w:rFonts w:hint="eastAsia" w:eastAsia="仿宋_GB2312" w:cs="Times New Roman"/>
          <w:kern w:val="2"/>
          <w:sz w:val="32"/>
          <w:szCs w:val="32"/>
          <w:u w:val="none"/>
          <w:lang w:val="en-US" w:eastAsia="zh-CN" w:bidi="ar-SA"/>
        </w:rPr>
        <w:t>6</w:t>
      </w:r>
      <w:r>
        <w:rPr>
          <w:rFonts w:hint="eastAsia" w:ascii="Times New Roman" w:hAnsi="Times New Roman" w:eastAsia="仿宋_GB2312" w:cs="Times New Roman"/>
          <w:kern w:val="2"/>
          <w:sz w:val="32"/>
          <w:szCs w:val="32"/>
          <w:u w:val="none"/>
          <w:lang w:val="en-US" w:eastAsia="zh-CN" w:bidi="ar-SA"/>
        </w:rPr>
        <w:t>年该项目预算15万元</w:t>
      </w:r>
      <w:r>
        <w:rPr>
          <w:rFonts w:hint="eastAsia" w:eastAsia="仿宋_GB2312" w:cs="Times New Roman"/>
          <w:kern w:val="2"/>
          <w:sz w:val="32"/>
          <w:szCs w:val="32"/>
          <w:u w:val="none"/>
          <w:lang w:val="en-US" w:eastAsia="zh-CN" w:bidi="ar-SA"/>
        </w:rPr>
        <w:t>。</w:t>
      </w:r>
    </w:p>
    <w:p w14:paraId="1DDBED33">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w:t>
      </w:r>
      <w:r>
        <w:rPr>
          <w:rFonts w:hint="eastAsia" w:eastAsia="仿宋_GB2312" w:cs="Times New Roman"/>
          <w:kern w:val="2"/>
          <w:sz w:val="32"/>
          <w:szCs w:val="32"/>
          <w:u w:val="none"/>
          <w:lang w:val="en-US" w:eastAsia="zh-CN" w:bidi="ar-SA"/>
        </w:rPr>
        <w:t>三</w:t>
      </w:r>
      <w:r>
        <w:rPr>
          <w:rFonts w:hint="eastAsia" w:ascii="Times New Roman" w:hAnsi="Times New Roman" w:eastAsia="仿宋_GB2312" w:cs="Times New Roman"/>
          <w:kern w:val="2"/>
          <w:sz w:val="32"/>
          <w:szCs w:val="32"/>
          <w:u w:val="none"/>
          <w:lang w:val="en-US" w:eastAsia="zh-CN" w:bidi="ar-SA"/>
        </w:rPr>
        <w:t>）定向选调生经济补助</w:t>
      </w:r>
    </w:p>
    <w:p w14:paraId="3921F6F6">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1.项目概述</w:t>
      </w:r>
    </w:p>
    <w:p w14:paraId="1390663C">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本项目主要用于202</w:t>
      </w:r>
      <w:r>
        <w:rPr>
          <w:rFonts w:hint="eastAsia" w:eastAsia="仿宋_GB2312" w:cs="Times New Roman"/>
          <w:kern w:val="2"/>
          <w:sz w:val="32"/>
          <w:szCs w:val="32"/>
          <w:u w:val="none"/>
          <w:lang w:val="en-US" w:eastAsia="zh-CN" w:bidi="ar-SA"/>
        </w:rPr>
        <w:t>6</w:t>
      </w:r>
      <w:r>
        <w:rPr>
          <w:rFonts w:hint="eastAsia" w:ascii="Times New Roman" w:hAnsi="Times New Roman" w:eastAsia="仿宋_GB2312" w:cs="Times New Roman"/>
          <w:kern w:val="2"/>
          <w:sz w:val="32"/>
          <w:szCs w:val="32"/>
          <w:u w:val="none"/>
          <w:lang w:val="en-US" w:eastAsia="zh-CN" w:bidi="ar-SA"/>
        </w:rPr>
        <w:t>年定向选调生经济补助。</w:t>
      </w:r>
    </w:p>
    <w:p w14:paraId="5E6BF3EF">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2.立项依据</w:t>
      </w:r>
    </w:p>
    <w:p w14:paraId="0499B5D0">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此项目是为了支付我局202</w:t>
      </w:r>
      <w:r>
        <w:rPr>
          <w:rFonts w:hint="eastAsia" w:eastAsia="仿宋_GB2312" w:cs="Times New Roman"/>
          <w:kern w:val="2"/>
          <w:sz w:val="32"/>
          <w:szCs w:val="32"/>
          <w:u w:val="none"/>
          <w:lang w:val="en-US" w:eastAsia="zh-CN" w:bidi="ar-SA"/>
        </w:rPr>
        <w:t>6</w:t>
      </w:r>
      <w:r>
        <w:rPr>
          <w:rFonts w:hint="eastAsia" w:ascii="Times New Roman" w:hAnsi="Times New Roman" w:eastAsia="仿宋_GB2312" w:cs="Times New Roman"/>
          <w:kern w:val="2"/>
          <w:sz w:val="32"/>
          <w:szCs w:val="32"/>
          <w:u w:val="none"/>
          <w:lang w:val="en-US" w:eastAsia="zh-CN" w:bidi="ar-SA"/>
        </w:rPr>
        <w:t>年</w:t>
      </w:r>
      <w:r>
        <w:rPr>
          <w:rFonts w:hint="eastAsia" w:eastAsia="仿宋_GB2312" w:cs="Times New Roman"/>
          <w:kern w:val="2"/>
          <w:sz w:val="32"/>
          <w:szCs w:val="32"/>
          <w:u w:val="none"/>
          <w:lang w:val="en-US" w:eastAsia="zh-CN" w:bidi="ar-SA"/>
        </w:rPr>
        <w:t>3</w:t>
      </w:r>
      <w:r>
        <w:rPr>
          <w:rFonts w:hint="eastAsia" w:ascii="Times New Roman" w:hAnsi="Times New Roman" w:eastAsia="仿宋_GB2312" w:cs="Times New Roman"/>
          <w:kern w:val="2"/>
          <w:sz w:val="32"/>
          <w:szCs w:val="32"/>
          <w:u w:val="none"/>
          <w:lang w:val="en-US" w:eastAsia="zh-CN" w:bidi="ar-SA"/>
        </w:rPr>
        <w:t>名选调生的经济补助。</w:t>
      </w:r>
    </w:p>
    <w:p w14:paraId="33510D98">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3.实施主体</w:t>
      </w:r>
    </w:p>
    <w:p w14:paraId="7FE300DF">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包头市商务局</w:t>
      </w:r>
    </w:p>
    <w:p w14:paraId="2172ADE6">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4.实施方案</w:t>
      </w:r>
    </w:p>
    <w:p w14:paraId="783B2BD1">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根据财政批复选调生补助费用制定此项预算，主要用于支付</w:t>
      </w:r>
      <w:r>
        <w:rPr>
          <w:rFonts w:hint="eastAsia" w:eastAsia="仿宋_GB2312" w:cs="Times New Roman"/>
          <w:kern w:val="2"/>
          <w:sz w:val="32"/>
          <w:szCs w:val="32"/>
          <w:u w:val="none"/>
          <w:lang w:val="en-US" w:eastAsia="zh-CN" w:bidi="ar-SA"/>
        </w:rPr>
        <w:t>3</w:t>
      </w:r>
      <w:r>
        <w:rPr>
          <w:rFonts w:hint="eastAsia" w:ascii="Times New Roman" w:hAnsi="Times New Roman" w:eastAsia="仿宋_GB2312" w:cs="Times New Roman"/>
          <w:kern w:val="2"/>
          <w:sz w:val="32"/>
          <w:szCs w:val="32"/>
          <w:u w:val="none"/>
          <w:lang w:val="en-US" w:eastAsia="zh-CN" w:bidi="ar-SA"/>
        </w:rPr>
        <w:t>名</w:t>
      </w:r>
    </w:p>
    <w:p w14:paraId="3C6F73BA">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选调生的经济补助。</w:t>
      </w:r>
    </w:p>
    <w:p w14:paraId="2A736FD9">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5.实施周期</w:t>
      </w:r>
    </w:p>
    <w:p w14:paraId="4639B6D7">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自202</w:t>
      </w:r>
      <w:r>
        <w:rPr>
          <w:rFonts w:hint="eastAsia" w:eastAsia="仿宋_GB2312" w:cs="Times New Roman"/>
          <w:kern w:val="2"/>
          <w:sz w:val="32"/>
          <w:szCs w:val="32"/>
          <w:u w:val="none"/>
          <w:lang w:val="en-US" w:eastAsia="zh-CN" w:bidi="ar-SA"/>
        </w:rPr>
        <w:t>6</w:t>
      </w:r>
      <w:r>
        <w:rPr>
          <w:rFonts w:hint="eastAsia" w:ascii="Times New Roman" w:hAnsi="Times New Roman" w:eastAsia="仿宋_GB2312" w:cs="Times New Roman"/>
          <w:kern w:val="2"/>
          <w:sz w:val="32"/>
          <w:szCs w:val="32"/>
          <w:u w:val="none"/>
          <w:lang w:val="en-US" w:eastAsia="zh-CN" w:bidi="ar-SA"/>
        </w:rPr>
        <w:t>年1月1日至202</w:t>
      </w:r>
      <w:r>
        <w:rPr>
          <w:rFonts w:hint="eastAsia" w:eastAsia="仿宋_GB2312" w:cs="Times New Roman"/>
          <w:kern w:val="2"/>
          <w:sz w:val="32"/>
          <w:szCs w:val="32"/>
          <w:u w:val="none"/>
          <w:lang w:val="en-US" w:eastAsia="zh-CN" w:bidi="ar-SA"/>
        </w:rPr>
        <w:t>6</w:t>
      </w:r>
      <w:r>
        <w:rPr>
          <w:rFonts w:hint="eastAsia" w:ascii="Times New Roman" w:hAnsi="Times New Roman" w:eastAsia="仿宋_GB2312" w:cs="Times New Roman"/>
          <w:kern w:val="2"/>
          <w:sz w:val="32"/>
          <w:szCs w:val="32"/>
          <w:u w:val="none"/>
          <w:lang w:val="en-US" w:eastAsia="zh-CN" w:bidi="ar-SA"/>
        </w:rPr>
        <w:t>年12月31日。</w:t>
      </w:r>
    </w:p>
    <w:p w14:paraId="4014ACEE">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6.年度预算安排</w:t>
      </w:r>
    </w:p>
    <w:p w14:paraId="65F75F60">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202</w:t>
      </w:r>
      <w:r>
        <w:rPr>
          <w:rFonts w:hint="eastAsia" w:eastAsia="仿宋_GB2312" w:cs="Times New Roman"/>
          <w:kern w:val="2"/>
          <w:sz w:val="32"/>
          <w:szCs w:val="32"/>
          <w:u w:val="none"/>
          <w:lang w:val="en-US" w:eastAsia="zh-CN" w:bidi="ar-SA"/>
        </w:rPr>
        <w:t>6</w:t>
      </w:r>
      <w:r>
        <w:rPr>
          <w:rFonts w:hint="eastAsia" w:ascii="Times New Roman" w:hAnsi="Times New Roman" w:eastAsia="仿宋_GB2312" w:cs="Times New Roman"/>
          <w:kern w:val="2"/>
          <w:sz w:val="32"/>
          <w:szCs w:val="32"/>
          <w:u w:val="none"/>
          <w:lang w:val="en-US" w:eastAsia="zh-CN" w:bidi="ar-SA"/>
        </w:rPr>
        <w:t>年该项目预算12万元。</w:t>
      </w:r>
    </w:p>
    <w:p w14:paraId="704591D9">
      <w:pPr>
        <w:numPr>
          <w:ilvl w:val="0"/>
          <w:numId w:val="0"/>
        </w:numPr>
        <w:pBdr>
          <w:bottom w:val="single" w:color="FFFFFF" w:sz="4" w:space="30"/>
        </w:pBdr>
        <w:snapToGrid w:val="0"/>
        <w:spacing w:line="600" w:lineRule="exact"/>
        <w:ind w:firstLine="320" w:firstLineChars="100"/>
        <w:jc w:val="both"/>
        <w:rPr>
          <w:rFonts w:hint="eastAsia" w:ascii="Times New Roman" w:hAnsi="Times New Roman" w:eastAsia="仿宋_GB2312" w:cs="Times New Roman"/>
          <w:kern w:val="2"/>
          <w:sz w:val="32"/>
          <w:szCs w:val="32"/>
          <w:u w:val="none"/>
          <w:lang w:val="en-US" w:eastAsia="zh-CN" w:bidi="ar-SA"/>
        </w:rPr>
      </w:pPr>
      <w:r>
        <w:rPr>
          <w:rFonts w:hint="eastAsia" w:eastAsia="仿宋_GB2312" w:cs="Times New Roman"/>
          <w:kern w:val="2"/>
          <w:sz w:val="32"/>
          <w:szCs w:val="32"/>
          <w:u w:val="none"/>
          <w:lang w:val="en-US" w:eastAsia="zh-CN" w:bidi="ar-SA"/>
        </w:rPr>
        <w:t>（四）</w:t>
      </w:r>
      <w:r>
        <w:rPr>
          <w:rFonts w:hint="eastAsia" w:ascii="Times New Roman" w:hAnsi="Times New Roman" w:eastAsia="仿宋_GB2312" w:cs="Times New Roman"/>
          <w:kern w:val="2"/>
          <w:sz w:val="32"/>
          <w:szCs w:val="32"/>
          <w:u w:val="none"/>
          <w:lang w:val="en-US" w:eastAsia="zh-CN" w:bidi="ar-SA"/>
        </w:rPr>
        <w:t>商务领域公众号运维宣传费</w:t>
      </w:r>
    </w:p>
    <w:p w14:paraId="09FAD7A6">
      <w:pPr>
        <w:numPr>
          <w:ilvl w:val="0"/>
          <w:numId w:val="0"/>
        </w:num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1.项目概述</w:t>
      </w:r>
    </w:p>
    <w:p w14:paraId="01A84BF2">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为进一步做好商务局对外宣传工作，提升政务服务效率、提高商务形象、完善“包头商务”微信公众号功能、提升运营服务质效，按照市政府相关要求，优先入驻市融媒体中心移动平台。</w:t>
      </w:r>
    </w:p>
    <w:p w14:paraId="6270153B">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2.立项依据</w:t>
      </w:r>
    </w:p>
    <w:p w14:paraId="5D4805FB">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根据《包头市市级媒体深度融合改革方案》精神，“市融媒企业享受文化类企业优惠政策，各党政机关和企事业单位举办重大活动以及制作宣传片、专题片、户外广告等，优先推荐市融媒体中心承接；各旗县区、稀土高新区和市直各部门单位自行开发建设运营的各类APP、微信公众号、小程序等资源，优先入驻市融媒体中心移动平台”。</w:t>
      </w:r>
    </w:p>
    <w:p w14:paraId="2E9DF6FE">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3.实施主体</w:t>
      </w:r>
    </w:p>
    <w:p w14:paraId="4024CFBE">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包头市商务局</w:t>
      </w:r>
    </w:p>
    <w:p w14:paraId="2A6A01CC">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4.实施方案</w:t>
      </w:r>
    </w:p>
    <w:p w14:paraId="57B9CD6E">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进一步做好商务领域对外宣传工作，提升政务服务效率、提高商务形象、完善“包头商务”微信公众号功能、提升运营服务质效。</w:t>
      </w:r>
    </w:p>
    <w:p w14:paraId="18B76CC5">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5.实施周期</w:t>
      </w:r>
    </w:p>
    <w:p w14:paraId="14DD04DE">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自202</w:t>
      </w:r>
      <w:r>
        <w:rPr>
          <w:rFonts w:hint="eastAsia" w:eastAsia="仿宋_GB2312" w:cs="Times New Roman"/>
          <w:kern w:val="2"/>
          <w:sz w:val="32"/>
          <w:szCs w:val="32"/>
          <w:u w:val="none"/>
          <w:lang w:val="en-US" w:eastAsia="zh-CN" w:bidi="ar-SA"/>
        </w:rPr>
        <w:t>6</w:t>
      </w:r>
      <w:r>
        <w:rPr>
          <w:rFonts w:hint="eastAsia" w:ascii="Times New Roman" w:hAnsi="Times New Roman" w:eastAsia="仿宋_GB2312" w:cs="Times New Roman"/>
          <w:kern w:val="2"/>
          <w:sz w:val="32"/>
          <w:szCs w:val="32"/>
          <w:u w:val="none"/>
          <w:lang w:val="en-US" w:eastAsia="zh-CN" w:bidi="ar-SA"/>
        </w:rPr>
        <w:t>年1月1日至202</w:t>
      </w:r>
      <w:r>
        <w:rPr>
          <w:rFonts w:hint="eastAsia" w:eastAsia="仿宋_GB2312" w:cs="Times New Roman"/>
          <w:kern w:val="2"/>
          <w:sz w:val="32"/>
          <w:szCs w:val="32"/>
          <w:u w:val="none"/>
          <w:lang w:val="en-US" w:eastAsia="zh-CN" w:bidi="ar-SA"/>
        </w:rPr>
        <w:t>6</w:t>
      </w:r>
      <w:r>
        <w:rPr>
          <w:rFonts w:hint="eastAsia" w:ascii="Times New Roman" w:hAnsi="Times New Roman" w:eastAsia="仿宋_GB2312" w:cs="Times New Roman"/>
          <w:kern w:val="2"/>
          <w:sz w:val="32"/>
          <w:szCs w:val="32"/>
          <w:u w:val="none"/>
          <w:lang w:val="en-US" w:eastAsia="zh-CN" w:bidi="ar-SA"/>
        </w:rPr>
        <w:t>年12月31日。</w:t>
      </w:r>
    </w:p>
    <w:p w14:paraId="286A2B57">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6.年度预算安排</w:t>
      </w:r>
    </w:p>
    <w:p w14:paraId="4EF1A30A">
      <w:pPr>
        <w:pBdr>
          <w:bottom w:val="single" w:color="FFFFFF" w:sz="4" w:space="30"/>
        </w:pBdr>
        <w:snapToGrid w:val="0"/>
        <w:spacing w:line="600" w:lineRule="exact"/>
        <w:ind w:firstLine="640" w:firstLineChars="200"/>
        <w:jc w:val="both"/>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202</w:t>
      </w:r>
      <w:r>
        <w:rPr>
          <w:rFonts w:hint="eastAsia" w:eastAsia="仿宋_GB2312" w:cs="Times New Roman"/>
          <w:kern w:val="2"/>
          <w:sz w:val="32"/>
          <w:szCs w:val="32"/>
          <w:u w:val="none"/>
          <w:lang w:val="en-US" w:eastAsia="zh-CN" w:bidi="ar-SA"/>
        </w:rPr>
        <w:t>6</w:t>
      </w:r>
      <w:r>
        <w:rPr>
          <w:rFonts w:hint="eastAsia" w:ascii="Times New Roman" w:hAnsi="Times New Roman" w:eastAsia="仿宋_GB2312" w:cs="Times New Roman"/>
          <w:kern w:val="2"/>
          <w:sz w:val="32"/>
          <w:szCs w:val="32"/>
          <w:u w:val="none"/>
          <w:lang w:val="en-US" w:eastAsia="zh-CN" w:bidi="ar-SA"/>
        </w:rPr>
        <w:t>年该项目预算</w:t>
      </w:r>
      <w:r>
        <w:rPr>
          <w:rFonts w:hint="eastAsia" w:eastAsia="仿宋_GB2312" w:cs="Times New Roman"/>
          <w:kern w:val="2"/>
          <w:sz w:val="32"/>
          <w:szCs w:val="32"/>
          <w:u w:val="none"/>
          <w:lang w:val="en-US" w:eastAsia="zh-CN" w:bidi="ar-SA"/>
        </w:rPr>
        <w:t>15</w:t>
      </w:r>
      <w:r>
        <w:rPr>
          <w:rFonts w:hint="eastAsia" w:ascii="Times New Roman" w:hAnsi="Times New Roman" w:eastAsia="仿宋_GB2312" w:cs="Times New Roman"/>
          <w:kern w:val="2"/>
          <w:sz w:val="32"/>
          <w:szCs w:val="32"/>
          <w:u w:val="none"/>
          <w:lang w:val="en-US" w:eastAsia="zh-CN" w:bidi="ar-SA"/>
        </w:rPr>
        <w:t>万元。</w:t>
      </w:r>
    </w:p>
    <w:p w14:paraId="2325C104">
      <w:pPr>
        <w:numPr>
          <w:ilvl w:val="0"/>
          <w:numId w:val="7"/>
        </w:numPr>
        <w:pBdr>
          <w:bottom w:val="single" w:color="FFFFFF" w:sz="4" w:space="30"/>
        </w:pBdr>
        <w:snapToGrid w:val="0"/>
        <w:spacing w:line="600" w:lineRule="exact"/>
        <w:ind w:firstLine="640" w:firstLineChars="200"/>
        <w:jc w:val="both"/>
        <w:rPr>
          <w:rFonts w:hint="default" w:ascii="Times New Roman" w:hAnsi="Times New Roman" w:eastAsia="楷体" w:cs="Times New Roman"/>
          <w:b w:val="0"/>
          <w:bCs w:val="0"/>
          <w:kern w:val="2"/>
          <w:sz w:val="32"/>
          <w:szCs w:val="32"/>
          <w:u w:val="none"/>
          <w:lang w:val="en-US" w:eastAsia="zh-CN" w:bidi="ar-SA"/>
        </w:rPr>
      </w:pPr>
      <w:r>
        <w:rPr>
          <w:rFonts w:hint="default" w:ascii="Times New Roman" w:hAnsi="Times New Roman" w:eastAsia="楷体" w:cs="Times New Roman"/>
          <w:b w:val="0"/>
          <w:bCs w:val="0"/>
          <w:kern w:val="2"/>
          <w:sz w:val="32"/>
          <w:szCs w:val="32"/>
          <w:u w:val="none"/>
          <w:lang w:val="en-US" w:eastAsia="zh-CN" w:bidi="ar-SA"/>
        </w:rPr>
        <w:t>口岸通勤车服务</w:t>
      </w:r>
    </w:p>
    <w:p w14:paraId="5B2C6E93">
      <w:pPr>
        <w:numPr>
          <w:ilvl w:val="0"/>
          <w:numId w:val="0"/>
        </w:numPr>
        <w:pBdr>
          <w:bottom w:val="single" w:color="FFFFFF" w:sz="4" w:space="30"/>
        </w:pBdr>
        <w:snapToGrid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项目概述</w:t>
      </w:r>
    </w:p>
    <w:p w14:paraId="22C7836F">
      <w:pPr>
        <w:numPr>
          <w:ilvl w:val="0"/>
          <w:numId w:val="0"/>
        </w:numPr>
        <w:pBdr>
          <w:bottom w:val="single" w:color="FFFFFF" w:sz="4" w:space="30"/>
        </w:pBdr>
        <w:snapToGrid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本项目主要为协调配合各联检单位做好满都拉口岸通关服务工作，提升口岸过货量，为满都拉口岸联检单位提供通勤车服务以保障联检单位工作人员正常往返满都拉口岸，实现满都拉口岸的正常运转。</w:t>
      </w:r>
    </w:p>
    <w:p w14:paraId="191399E9">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2.立项依据</w:t>
      </w:r>
    </w:p>
    <w:p w14:paraId="18703C6B">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根据《关于下达2020年商贸、供销事务专项资金的通知》 (包财贸〔2020〕278号 )</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下达55万专项资金用于满都拉口岸通勤车。</w:t>
      </w:r>
    </w:p>
    <w:p w14:paraId="78CCAB4B">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3.实施主体</w:t>
      </w:r>
    </w:p>
    <w:p w14:paraId="7CC9A9E6">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包头市口岸服务中心</w:t>
      </w:r>
    </w:p>
    <w:p w14:paraId="32E97269">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4.实施方案</w:t>
      </w:r>
    </w:p>
    <w:p w14:paraId="0D9442F2">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根据市场价格，确定往返口岸通勤车2815元/趟，按实际趟数结算。</w:t>
      </w:r>
    </w:p>
    <w:p w14:paraId="7A43415A">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5.实施周期</w:t>
      </w:r>
    </w:p>
    <w:p w14:paraId="3F1D561B">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年1月1日至202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年12月31日。</w:t>
      </w:r>
    </w:p>
    <w:p w14:paraId="1C1B4135">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6.年度预算安排</w:t>
      </w:r>
      <w:r>
        <w:rPr>
          <w:rFonts w:hint="default" w:ascii="Times New Roman" w:hAnsi="Times New Roman" w:eastAsia="仿宋_GB2312" w:cs="Times New Roman"/>
          <w:sz w:val="32"/>
          <w:szCs w:val="32"/>
          <w:lang w:val="en-US" w:eastAsia="zh-CN"/>
        </w:rPr>
        <mc:AlternateContent>
          <mc:Choice Requires="wps">
            <w:drawing>
              <wp:anchor distT="0" distB="0" distL="114300" distR="114300" simplePos="0" relativeHeight="251659264" behindDoc="0" locked="0" layoutInCell="0" allowOverlap="1">
                <wp:simplePos x="0" y="0"/>
                <wp:positionH relativeFrom="page">
                  <wp:posOffset>1008380</wp:posOffset>
                </wp:positionH>
                <wp:positionV relativeFrom="page">
                  <wp:posOffset>7339330</wp:posOffset>
                </wp:positionV>
                <wp:extent cx="5544185"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5544185" cy="6350"/>
                        </a:xfrm>
                        <a:custGeom>
                          <a:avLst/>
                          <a:gdLst/>
                          <a:ahLst/>
                          <a:cxnLst/>
                          <a:pathLst>
                            <a:path w="8730" h="10">
                              <a:moveTo>
                                <a:pt x="0" y="0"/>
                              </a:moveTo>
                              <a:lnTo>
                                <a:pt x="8730" y="0"/>
                              </a:lnTo>
                              <a:lnTo>
                                <a:pt x="8730" y="9"/>
                              </a:lnTo>
                              <a:lnTo>
                                <a:pt x="0" y="9"/>
                              </a:lnTo>
                              <a:lnTo>
                                <a:pt x="0" y="0"/>
                              </a:lnTo>
                              <a:close/>
                            </a:path>
                          </a:pathLst>
                        </a:custGeom>
                        <a:solidFill>
                          <a:srgbClr val="FFFFFF"/>
                        </a:solidFill>
                        <a:ln>
                          <a:noFill/>
                        </a:ln>
                      </wps:spPr>
                      <wps:bodyPr upright="1"/>
                    </wps:wsp>
                  </a:graphicData>
                </a:graphic>
              </wp:anchor>
            </w:drawing>
          </mc:Choice>
          <mc:Fallback>
            <w:pict>
              <v:shape id="_x0000_s1026" o:spid="_x0000_s1026" o:spt="100" style="position:absolute;left:0pt;margin-left:79.4pt;margin-top:577.9pt;height:0.5pt;width:436.55pt;mso-position-horizontal-relative:page;mso-position-vertical-relative:page;z-index:251659264;mso-width-relative:page;mso-height-relative:page;" fillcolor="#FFFFFF" filled="t" stroked="f" coordsize="8730,10" o:allowincell="f" o:gfxdata="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9PRsB2QAAAA4BAAAPAAAAAAAAAAEA&#10;IAAAACIAAABkcnMvZG93bnJldi54bWxQSwECFAAUAAAACACHTuJAX+qiNw4CAAB5BAAADgAAAAAA&#10;AAABACAAAAAoAQAAZHJzL2Uyb0RvYy54bWxQSwUGAAAAAAYABgBZAQAAqAUAAAAA&#10;" path="m0,0l8730,0,8730,9,0,9,0,0xe">
                <v:fill on="t" focussize="0,0"/>
                <v:stroke on="f"/>
                <v:imagedata o:title=""/>
                <o:lock v:ext="edit" aspectratio="f"/>
              </v:shape>
            </w:pict>
          </mc:Fallback>
        </mc:AlternateContent>
      </w:r>
    </w:p>
    <w:p w14:paraId="1EF577E0">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年该项目预算</w:t>
      </w:r>
      <w:r>
        <w:rPr>
          <w:rFonts w:hint="eastAsia" w:eastAsia="仿宋_GB2312" w:cs="Times New Roman"/>
          <w:sz w:val="32"/>
          <w:szCs w:val="32"/>
          <w:lang w:val="en-US" w:eastAsia="zh-CN"/>
        </w:rPr>
        <w:t>62.72</w:t>
      </w:r>
      <w:r>
        <w:rPr>
          <w:rFonts w:hint="default" w:ascii="Times New Roman" w:hAnsi="Times New Roman" w:eastAsia="仿宋_GB2312" w:cs="Times New Roman"/>
          <w:sz w:val="32"/>
          <w:szCs w:val="32"/>
          <w:lang w:val="en-US" w:eastAsia="zh-CN"/>
        </w:rPr>
        <w:t>万元。</w:t>
      </w:r>
    </w:p>
    <w:p w14:paraId="27751A8F">
      <w:pPr>
        <w:pageBreakBefore w:val="0"/>
        <w:kinsoku/>
        <w:wordWrap/>
        <w:overflowPunct/>
        <w:topLinePunct w:val="0"/>
        <w:bidi w:val="0"/>
        <w:spacing w:line="560" w:lineRule="exact"/>
        <w:ind w:firstLine="640" w:firstLineChars="200"/>
        <w:textAlignment w:val="auto"/>
        <w:rPr>
          <w:rFonts w:hint="default" w:ascii="Times New Roman" w:hAnsi="Times New Roman" w:eastAsia="楷体" w:cs="Times New Roman"/>
          <w:b w:val="0"/>
          <w:bCs w:val="0"/>
          <w:kern w:val="2"/>
          <w:sz w:val="32"/>
          <w:szCs w:val="32"/>
          <w:u w:val="none"/>
          <w:lang w:val="en-US" w:eastAsia="zh-CN" w:bidi="ar-SA"/>
        </w:rPr>
      </w:pPr>
      <w:r>
        <w:rPr>
          <w:rFonts w:hint="eastAsia" w:ascii="Times New Roman" w:hAnsi="Times New Roman" w:eastAsia="楷体" w:cs="Times New Roman"/>
          <w:b w:val="0"/>
          <w:bCs w:val="0"/>
          <w:kern w:val="2"/>
          <w:sz w:val="32"/>
          <w:szCs w:val="32"/>
          <w:u w:val="none"/>
          <w:lang w:val="en-US" w:eastAsia="zh-CN" w:bidi="ar-SA"/>
        </w:rPr>
        <w:t>（六）</w:t>
      </w:r>
      <w:r>
        <w:rPr>
          <w:rFonts w:hint="default" w:ascii="Times New Roman" w:hAnsi="Times New Roman" w:eastAsia="楷体" w:cs="Times New Roman"/>
          <w:b w:val="0"/>
          <w:bCs w:val="0"/>
          <w:kern w:val="2"/>
          <w:sz w:val="32"/>
          <w:szCs w:val="32"/>
          <w:u w:val="none"/>
          <w:lang w:val="en-US" w:eastAsia="zh-CN" w:bidi="ar-SA"/>
        </w:rPr>
        <w:t>临聘人员经费</w:t>
      </w:r>
    </w:p>
    <w:p w14:paraId="3B612040">
      <w:pPr>
        <w:pageBreakBefore w:val="0"/>
        <w:kinsoku/>
        <w:wordWrap/>
        <w:overflowPunct/>
        <w:topLinePunct w:val="0"/>
        <w:bidi w:val="0"/>
        <w:spacing w:line="560" w:lineRule="exact"/>
        <w:ind w:firstLine="608" w:firstLineChars="200"/>
        <w:textAlignment w:val="auto"/>
        <w:rPr>
          <w:rFonts w:hint="default" w:ascii="Times New Roman" w:hAnsi="Times New Roman" w:eastAsia="仿宋" w:cs="Times New Roman"/>
          <w:w w:val="95"/>
          <w:kern w:val="2"/>
          <w:sz w:val="32"/>
          <w:szCs w:val="32"/>
          <w:u w:val="none"/>
          <w:lang w:val="en-US" w:eastAsia="zh-CN" w:bidi="ar-SA"/>
        </w:rPr>
      </w:pPr>
      <w:r>
        <w:rPr>
          <w:rFonts w:hint="default" w:ascii="Times New Roman" w:hAnsi="Times New Roman" w:eastAsia="仿宋" w:cs="Times New Roman"/>
          <w:w w:val="95"/>
          <w:kern w:val="2"/>
          <w:sz w:val="32"/>
          <w:szCs w:val="32"/>
          <w:u w:val="none"/>
          <w:lang w:val="en-US" w:eastAsia="zh-CN" w:bidi="ar-SA"/>
        </w:rPr>
        <w:t>1.项目概述</w:t>
      </w:r>
    </w:p>
    <w:p w14:paraId="24444F38">
      <w:pPr>
        <w:pageBreakBefore w:val="0"/>
        <w:kinsoku/>
        <w:wordWrap/>
        <w:overflowPunct/>
        <w:topLinePunct w:val="0"/>
        <w:bidi w:val="0"/>
        <w:spacing w:line="560" w:lineRule="exact"/>
        <w:ind w:firstLine="608" w:firstLineChars="200"/>
        <w:textAlignment w:val="auto"/>
        <w:rPr>
          <w:rFonts w:hint="default" w:ascii="Times New Roman" w:hAnsi="Times New Roman" w:eastAsia="仿宋" w:cs="Times New Roman"/>
          <w:w w:val="95"/>
          <w:kern w:val="2"/>
          <w:sz w:val="32"/>
          <w:szCs w:val="32"/>
          <w:u w:val="none"/>
          <w:lang w:val="en-US" w:eastAsia="zh-CN" w:bidi="ar-SA"/>
        </w:rPr>
      </w:pPr>
      <w:r>
        <w:rPr>
          <w:rFonts w:hint="default" w:ascii="Times New Roman" w:hAnsi="Times New Roman" w:eastAsia="仿宋" w:cs="Times New Roman"/>
          <w:w w:val="95"/>
          <w:kern w:val="2"/>
          <w:sz w:val="32"/>
          <w:szCs w:val="32"/>
          <w:u w:val="none"/>
          <w:lang w:val="en-US" w:eastAsia="zh-CN" w:bidi="ar-SA"/>
        </w:rPr>
        <w:t>本项目主要为弥补航空口岸联检单位人员不足的问题，保障航空口岸正常运转，招聘协勤人员协助海关、边检开展相关工作，并发放临聘人员工资，缴纳社保和住房公积金，以及劳务派遣公司管理费用。</w:t>
      </w:r>
    </w:p>
    <w:p w14:paraId="67ABFE9F">
      <w:pPr>
        <w:pageBreakBefore w:val="0"/>
        <w:kinsoku/>
        <w:wordWrap/>
        <w:overflowPunct/>
        <w:topLinePunct w:val="0"/>
        <w:bidi w:val="0"/>
        <w:spacing w:line="560" w:lineRule="exact"/>
        <w:ind w:firstLine="608" w:firstLineChars="200"/>
        <w:textAlignment w:val="auto"/>
        <w:rPr>
          <w:rFonts w:hint="default" w:ascii="Times New Roman" w:hAnsi="Times New Roman" w:eastAsia="仿宋" w:cs="Times New Roman"/>
          <w:w w:val="95"/>
          <w:kern w:val="2"/>
          <w:sz w:val="32"/>
          <w:szCs w:val="32"/>
          <w:u w:val="none"/>
          <w:lang w:val="en-US" w:eastAsia="zh-CN" w:bidi="ar-SA"/>
        </w:rPr>
      </w:pPr>
      <w:r>
        <w:rPr>
          <w:rFonts w:hint="default" w:ascii="Times New Roman" w:hAnsi="Times New Roman" w:eastAsia="仿宋" w:cs="Times New Roman"/>
          <w:w w:val="95"/>
          <w:kern w:val="2"/>
          <w:sz w:val="32"/>
          <w:szCs w:val="32"/>
          <w:u w:val="none"/>
          <w:lang w:val="en-US" w:eastAsia="zh-CN" w:bidi="ar-SA"/>
        </w:rPr>
        <w:t>2.立项依据</w:t>
      </w:r>
    </w:p>
    <w:p w14:paraId="19A43532">
      <w:pPr>
        <w:pageBreakBefore w:val="0"/>
        <w:kinsoku/>
        <w:wordWrap/>
        <w:overflowPunct/>
        <w:topLinePunct w:val="0"/>
        <w:bidi w:val="0"/>
        <w:spacing w:line="560" w:lineRule="exact"/>
        <w:ind w:firstLine="608" w:firstLineChars="200"/>
        <w:textAlignment w:val="auto"/>
        <w:rPr>
          <w:rFonts w:hint="default" w:ascii="Times New Roman" w:hAnsi="Times New Roman" w:eastAsia="仿宋" w:cs="Times New Roman"/>
          <w:w w:val="95"/>
          <w:kern w:val="2"/>
          <w:sz w:val="32"/>
          <w:szCs w:val="32"/>
          <w:u w:val="none"/>
          <w:lang w:val="en-US" w:eastAsia="zh-CN" w:bidi="ar-SA"/>
        </w:rPr>
      </w:pPr>
      <w:r>
        <w:rPr>
          <w:rFonts w:hint="default" w:ascii="Times New Roman" w:hAnsi="Times New Roman" w:eastAsia="仿宋" w:cs="Times New Roman"/>
          <w:w w:val="95"/>
          <w:kern w:val="2"/>
          <w:sz w:val="32"/>
          <w:szCs w:val="32"/>
          <w:u w:val="none"/>
          <w:lang w:val="en-US" w:eastAsia="zh-CN" w:bidi="ar-SA"/>
        </w:rPr>
        <w:t>根据《关于将航空口岸联检单位后勤保障经费列入2019年预算的请示》 (包商务口岸字〔2018〕189 号 ) ，领导批示100万元用于航空口岸联检单位后勤保障经费。</w:t>
      </w:r>
    </w:p>
    <w:p w14:paraId="4898D708">
      <w:pPr>
        <w:pageBreakBefore w:val="0"/>
        <w:kinsoku/>
        <w:wordWrap/>
        <w:overflowPunct/>
        <w:topLinePunct w:val="0"/>
        <w:bidi w:val="0"/>
        <w:spacing w:line="560" w:lineRule="exact"/>
        <w:ind w:firstLine="608" w:firstLineChars="200"/>
        <w:textAlignment w:val="auto"/>
        <w:rPr>
          <w:rFonts w:hint="default" w:ascii="Times New Roman" w:hAnsi="Times New Roman" w:eastAsia="仿宋" w:cs="Times New Roman"/>
          <w:w w:val="95"/>
          <w:kern w:val="2"/>
          <w:sz w:val="32"/>
          <w:szCs w:val="32"/>
          <w:u w:val="none"/>
          <w:lang w:val="en-US" w:eastAsia="zh-CN" w:bidi="ar-SA"/>
        </w:rPr>
      </w:pPr>
      <w:r>
        <w:rPr>
          <w:rFonts w:hint="default" w:ascii="Times New Roman" w:hAnsi="Times New Roman" w:eastAsia="仿宋" w:cs="Times New Roman"/>
          <w:w w:val="95"/>
          <w:kern w:val="2"/>
          <w:sz w:val="32"/>
          <w:szCs w:val="32"/>
          <w:u w:val="none"/>
          <w:lang w:val="en-US" w:eastAsia="zh-CN" w:bidi="ar-SA"/>
        </w:rPr>
        <w:t>3.实施主体</w:t>
      </w:r>
    </w:p>
    <w:p w14:paraId="48BDA861">
      <w:pPr>
        <w:pageBreakBefore w:val="0"/>
        <w:kinsoku/>
        <w:wordWrap/>
        <w:overflowPunct/>
        <w:topLinePunct w:val="0"/>
        <w:bidi w:val="0"/>
        <w:spacing w:line="560" w:lineRule="exact"/>
        <w:ind w:firstLine="608" w:firstLineChars="200"/>
        <w:textAlignment w:val="auto"/>
        <w:rPr>
          <w:rFonts w:hint="default" w:ascii="Times New Roman" w:hAnsi="Times New Roman" w:eastAsia="仿宋" w:cs="Times New Roman"/>
          <w:w w:val="95"/>
          <w:kern w:val="2"/>
          <w:sz w:val="32"/>
          <w:szCs w:val="32"/>
          <w:u w:val="none"/>
          <w:lang w:val="en-US" w:eastAsia="zh-CN" w:bidi="ar-SA"/>
        </w:rPr>
      </w:pPr>
      <w:r>
        <w:rPr>
          <w:rFonts w:hint="default" w:ascii="Times New Roman" w:hAnsi="Times New Roman" w:eastAsia="仿宋" w:cs="Times New Roman"/>
          <w:w w:val="95"/>
          <w:kern w:val="2"/>
          <w:sz w:val="32"/>
          <w:szCs w:val="32"/>
          <w:u w:val="none"/>
          <w:lang w:val="en-US" w:eastAsia="zh-CN" w:bidi="ar-SA"/>
        </w:rPr>
        <w:t>包头市口岸服务中心</w:t>
      </w:r>
    </w:p>
    <w:p w14:paraId="77E46F6D">
      <w:pPr>
        <w:pageBreakBefore w:val="0"/>
        <w:kinsoku/>
        <w:wordWrap/>
        <w:overflowPunct/>
        <w:topLinePunct w:val="0"/>
        <w:bidi w:val="0"/>
        <w:spacing w:line="560" w:lineRule="exact"/>
        <w:ind w:firstLine="608" w:firstLineChars="200"/>
        <w:textAlignment w:val="auto"/>
        <w:rPr>
          <w:rFonts w:hint="default" w:ascii="Times New Roman" w:hAnsi="Times New Roman" w:eastAsia="仿宋" w:cs="Times New Roman"/>
          <w:w w:val="95"/>
          <w:kern w:val="2"/>
          <w:sz w:val="32"/>
          <w:szCs w:val="32"/>
          <w:u w:val="none"/>
          <w:lang w:val="en-US" w:eastAsia="zh-CN" w:bidi="ar-SA"/>
        </w:rPr>
      </w:pPr>
      <w:r>
        <w:rPr>
          <w:rFonts w:hint="default" w:ascii="Times New Roman" w:hAnsi="Times New Roman" w:eastAsia="仿宋" w:cs="Times New Roman"/>
          <w:w w:val="95"/>
          <w:kern w:val="2"/>
          <w:sz w:val="32"/>
          <w:szCs w:val="32"/>
          <w:u w:val="none"/>
          <w:lang w:val="en-US" w:eastAsia="zh-CN" w:bidi="ar-SA"/>
        </w:rPr>
        <w:t>4.实施方案</w:t>
      </w:r>
    </w:p>
    <w:p w14:paraId="061192D8">
      <w:pPr>
        <w:pageBreakBefore w:val="0"/>
        <w:kinsoku/>
        <w:wordWrap/>
        <w:overflowPunct/>
        <w:topLinePunct w:val="0"/>
        <w:bidi w:val="0"/>
        <w:spacing w:line="560" w:lineRule="exact"/>
        <w:ind w:firstLine="608" w:firstLineChars="200"/>
        <w:textAlignment w:val="auto"/>
        <w:rPr>
          <w:rFonts w:hint="default" w:ascii="Times New Roman" w:hAnsi="Times New Roman" w:eastAsia="仿宋" w:cs="Times New Roman"/>
          <w:w w:val="95"/>
          <w:kern w:val="2"/>
          <w:sz w:val="32"/>
          <w:szCs w:val="32"/>
          <w:u w:val="none"/>
          <w:lang w:val="en-US" w:eastAsia="zh-CN" w:bidi="ar-SA"/>
        </w:rPr>
      </w:pPr>
      <w:r>
        <w:rPr>
          <w:rFonts w:hint="default" w:ascii="Times New Roman" w:hAnsi="Times New Roman" w:eastAsia="仿宋" w:cs="Times New Roman"/>
          <w:w w:val="95"/>
          <w:kern w:val="2"/>
          <w:sz w:val="32"/>
          <w:szCs w:val="32"/>
          <w:u w:val="none"/>
          <w:lang w:val="en-US" w:eastAsia="zh-CN" w:bidi="ar-SA"/>
        </w:rPr>
        <w:t>本项目主要用于202</w:t>
      </w:r>
      <w:r>
        <w:rPr>
          <w:rFonts w:hint="eastAsia" w:eastAsia="仿宋" w:cs="Times New Roman"/>
          <w:w w:val="95"/>
          <w:kern w:val="2"/>
          <w:sz w:val="32"/>
          <w:szCs w:val="32"/>
          <w:u w:val="none"/>
          <w:lang w:val="en-US" w:eastAsia="zh-CN" w:bidi="ar-SA"/>
        </w:rPr>
        <w:t>6</w:t>
      </w:r>
      <w:r>
        <w:rPr>
          <w:rFonts w:hint="default" w:ascii="Times New Roman" w:hAnsi="Times New Roman" w:eastAsia="仿宋" w:cs="Times New Roman"/>
          <w:w w:val="95"/>
          <w:kern w:val="2"/>
          <w:sz w:val="32"/>
          <w:szCs w:val="32"/>
          <w:u w:val="none"/>
          <w:lang w:val="en-US" w:eastAsia="zh-CN" w:bidi="ar-SA"/>
        </w:rPr>
        <w:t>年航空口岸后勤保障经费，用于支付协勤人员工资。</w:t>
      </w:r>
    </w:p>
    <w:p w14:paraId="05FC0833">
      <w:pPr>
        <w:pageBreakBefore w:val="0"/>
        <w:kinsoku/>
        <w:wordWrap/>
        <w:overflowPunct/>
        <w:topLinePunct w:val="0"/>
        <w:bidi w:val="0"/>
        <w:spacing w:line="560" w:lineRule="exact"/>
        <w:ind w:firstLine="608" w:firstLineChars="200"/>
        <w:textAlignment w:val="auto"/>
        <w:rPr>
          <w:rFonts w:hint="default" w:ascii="Times New Roman" w:hAnsi="Times New Roman" w:eastAsia="仿宋" w:cs="Times New Roman"/>
          <w:w w:val="95"/>
          <w:kern w:val="2"/>
          <w:sz w:val="32"/>
          <w:szCs w:val="32"/>
          <w:u w:val="none"/>
          <w:lang w:val="en-US" w:eastAsia="zh-CN" w:bidi="ar-SA"/>
        </w:rPr>
      </w:pPr>
      <w:r>
        <w:rPr>
          <w:rFonts w:hint="default" w:ascii="Times New Roman" w:hAnsi="Times New Roman" w:eastAsia="仿宋" w:cs="Times New Roman"/>
          <w:w w:val="95"/>
          <w:kern w:val="2"/>
          <w:sz w:val="32"/>
          <w:szCs w:val="32"/>
          <w:u w:val="none"/>
          <w:lang w:val="en-US" w:eastAsia="zh-CN" w:bidi="ar-SA"/>
        </w:rPr>
        <w:t>5.实施周期</w:t>
      </w:r>
    </w:p>
    <w:p w14:paraId="7A6655F0">
      <w:pPr>
        <w:pageBreakBefore w:val="0"/>
        <w:kinsoku/>
        <w:wordWrap/>
        <w:overflowPunct/>
        <w:topLinePunct w:val="0"/>
        <w:bidi w:val="0"/>
        <w:spacing w:line="560" w:lineRule="exact"/>
        <w:ind w:firstLine="608" w:firstLineChars="200"/>
        <w:textAlignment w:val="auto"/>
        <w:rPr>
          <w:rFonts w:hint="default" w:ascii="Times New Roman" w:hAnsi="Times New Roman" w:eastAsia="仿宋" w:cs="Times New Roman"/>
          <w:w w:val="95"/>
          <w:kern w:val="2"/>
          <w:sz w:val="32"/>
          <w:szCs w:val="32"/>
          <w:u w:val="none"/>
          <w:lang w:val="en-US" w:eastAsia="zh-CN" w:bidi="ar-SA"/>
        </w:rPr>
      </w:pPr>
      <w:r>
        <w:rPr>
          <w:rFonts w:hint="default" w:ascii="Times New Roman" w:hAnsi="Times New Roman" w:eastAsia="仿宋" w:cs="Times New Roman"/>
          <w:w w:val="95"/>
          <w:kern w:val="2"/>
          <w:sz w:val="32"/>
          <w:szCs w:val="32"/>
          <w:u w:val="none"/>
          <w:lang w:val="en-US" w:eastAsia="zh-CN" w:bidi="ar-SA"/>
        </w:rPr>
        <w:t>自202</w:t>
      </w:r>
      <w:r>
        <w:rPr>
          <w:rFonts w:hint="eastAsia" w:eastAsia="仿宋" w:cs="Times New Roman"/>
          <w:w w:val="95"/>
          <w:kern w:val="2"/>
          <w:sz w:val="32"/>
          <w:szCs w:val="32"/>
          <w:u w:val="none"/>
          <w:lang w:val="en-US" w:eastAsia="zh-CN" w:bidi="ar-SA"/>
        </w:rPr>
        <w:t>6</w:t>
      </w:r>
      <w:r>
        <w:rPr>
          <w:rFonts w:hint="default" w:ascii="Times New Roman" w:hAnsi="Times New Roman" w:eastAsia="仿宋" w:cs="Times New Roman"/>
          <w:w w:val="95"/>
          <w:kern w:val="2"/>
          <w:sz w:val="32"/>
          <w:szCs w:val="32"/>
          <w:u w:val="none"/>
          <w:lang w:val="en-US" w:eastAsia="zh-CN" w:bidi="ar-SA"/>
        </w:rPr>
        <w:t>年</w:t>
      </w:r>
      <w:r>
        <w:rPr>
          <w:rFonts w:hint="eastAsia" w:eastAsia="仿宋" w:cs="Times New Roman"/>
          <w:w w:val="95"/>
          <w:kern w:val="2"/>
          <w:sz w:val="32"/>
          <w:szCs w:val="32"/>
          <w:u w:val="none"/>
          <w:lang w:val="en-US" w:eastAsia="zh-CN" w:bidi="ar-SA"/>
        </w:rPr>
        <w:t>1</w:t>
      </w:r>
      <w:r>
        <w:rPr>
          <w:rFonts w:hint="default" w:ascii="Times New Roman" w:hAnsi="Times New Roman" w:eastAsia="仿宋" w:cs="Times New Roman"/>
          <w:w w:val="95"/>
          <w:kern w:val="2"/>
          <w:sz w:val="32"/>
          <w:szCs w:val="32"/>
          <w:u w:val="none"/>
          <w:lang w:val="en-US" w:eastAsia="zh-CN" w:bidi="ar-SA"/>
        </w:rPr>
        <w:t>月1日至 202</w:t>
      </w:r>
      <w:r>
        <w:rPr>
          <w:rFonts w:hint="eastAsia" w:eastAsia="仿宋" w:cs="Times New Roman"/>
          <w:w w:val="95"/>
          <w:kern w:val="2"/>
          <w:sz w:val="32"/>
          <w:szCs w:val="32"/>
          <w:u w:val="none"/>
          <w:lang w:val="en-US" w:eastAsia="zh-CN" w:bidi="ar-SA"/>
        </w:rPr>
        <w:t>6</w:t>
      </w:r>
      <w:r>
        <w:rPr>
          <w:rFonts w:hint="default" w:ascii="Times New Roman" w:hAnsi="Times New Roman" w:eastAsia="仿宋" w:cs="Times New Roman"/>
          <w:w w:val="95"/>
          <w:kern w:val="2"/>
          <w:sz w:val="32"/>
          <w:szCs w:val="32"/>
          <w:u w:val="none"/>
          <w:lang w:val="en-US" w:eastAsia="zh-CN" w:bidi="ar-SA"/>
        </w:rPr>
        <w:t>年12月31日。</w:t>
      </w:r>
    </w:p>
    <w:p w14:paraId="2E59E659">
      <w:pPr>
        <w:pageBreakBefore w:val="0"/>
        <w:kinsoku/>
        <w:wordWrap/>
        <w:overflowPunct/>
        <w:topLinePunct w:val="0"/>
        <w:bidi w:val="0"/>
        <w:spacing w:line="560" w:lineRule="exact"/>
        <w:ind w:firstLine="608" w:firstLineChars="200"/>
        <w:textAlignment w:val="auto"/>
        <w:rPr>
          <w:rFonts w:hint="default" w:ascii="Times New Roman" w:hAnsi="Times New Roman" w:eastAsia="仿宋" w:cs="Times New Roman"/>
          <w:w w:val="95"/>
          <w:kern w:val="2"/>
          <w:sz w:val="32"/>
          <w:szCs w:val="32"/>
          <w:u w:val="none"/>
          <w:lang w:val="en-US" w:eastAsia="zh-CN" w:bidi="ar-SA"/>
        </w:rPr>
      </w:pPr>
      <w:r>
        <w:rPr>
          <w:rFonts w:hint="default" w:ascii="Times New Roman" w:hAnsi="Times New Roman" w:eastAsia="仿宋" w:cs="Times New Roman"/>
          <w:w w:val="95"/>
          <w:kern w:val="2"/>
          <w:sz w:val="32"/>
          <w:szCs w:val="32"/>
          <w:u w:val="none"/>
          <w:lang w:val="en-US" w:eastAsia="zh-CN" w:bidi="ar-SA"/>
        </w:rPr>
        <w:t>6.年度预算安排</w:t>
      </w:r>
    </w:p>
    <w:p w14:paraId="2C5A2E9C">
      <w:pPr>
        <w:pageBreakBefore w:val="0"/>
        <w:kinsoku/>
        <w:wordWrap/>
        <w:overflowPunct/>
        <w:topLinePunct w:val="0"/>
        <w:bidi w:val="0"/>
        <w:spacing w:line="360" w:lineRule="auto"/>
        <w:ind w:firstLine="608" w:firstLineChars="200"/>
        <w:textAlignment w:val="auto"/>
        <w:rPr>
          <w:rFonts w:hint="eastAsia" w:ascii="Times New Roman" w:hAnsi="Times New Roman" w:eastAsia="仿宋_GB2312" w:cs="Times New Roman"/>
          <w:kern w:val="2"/>
          <w:sz w:val="32"/>
          <w:szCs w:val="32"/>
          <w:u w:val="none"/>
          <w:lang w:val="en-US" w:eastAsia="zh-CN" w:bidi="ar-SA"/>
        </w:rPr>
      </w:pPr>
      <w:r>
        <w:rPr>
          <w:rFonts w:hint="default" w:ascii="Times New Roman" w:hAnsi="Times New Roman" w:eastAsia="仿宋" w:cs="Times New Roman"/>
          <w:w w:val="95"/>
          <w:kern w:val="2"/>
          <w:sz w:val="32"/>
          <w:szCs w:val="32"/>
          <w:u w:val="none"/>
          <w:lang w:val="en-US" w:eastAsia="zh-CN" w:bidi="ar-SA"/>
        </w:rPr>
        <w:t>202</w:t>
      </w:r>
      <w:r>
        <w:rPr>
          <w:rFonts w:hint="eastAsia" w:eastAsia="仿宋" w:cs="Times New Roman"/>
          <w:w w:val="95"/>
          <w:kern w:val="2"/>
          <w:sz w:val="32"/>
          <w:szCs w:val="32"/>
          <w:u w:val="none"/>
          <w:lang w:val="en-US" w:eastAsia="zh-CN" w:bidi="ar-SA"/>
        </w:rPr>
        <w:t>6</w:t>
      </w:r>
      <w:r>
        <w:rPr>
          <w:rFonts w:hint="default" w:ascii="Times New Roman" w:hAnsi="Times New Roman" w:eastAsia="仿宋" w:cs="Times New Roman"/>
          <w:w w:val="95"/>
          <w:kern w:val="2"/>
          <w:sz w:val="32"/>
          <w:szCs w:val="32"/>
          <w:u w:val="none"/>
          <w:lang w:val="en-US" w:eastAsia="zh-CN" w:bidi="ar-SA"/>
        </w:rPr>
        <w:t>年该项目预算78万元。</w:t>
      </w:r>
    </w:p>
    <w:p w14:paraId="5A0D085E">
      <w:pPr>
        <w:pBdr>
          <w:bottom w:val="single" w:color="FFFFFF" w:sz="4" w:space="30"/>
        </w:pBdr>
        <w:snapToGrid w:val="0"/>
        <w:spacing w:line="360" w:lineRule="auto"/>
        <w:ind w:firstLine="640" w:firstLineChars="200"/>
        <w:rPr>
          <w:rFonts w:hint="eastAsia" w:ascii="Times New Roman" w:hAnsi="Times New Roman" w:eastAsia="黑体" w:cs="黑体"/>
          <w:sz w:val="32"/>
          <w:szCs w:val="36"/>
          <w:u w:val="none"/>
        </w:rPr>
      </w:pPr>
      <w:r>
        <w:rPr>
          <w:rFonts w:hint="eastAsia" w:ascii="Times New Roman" w:hAnsi="Times New Roman" w:eastAsia="黑体" w:cs="黑体"/>
          <w:sz w:val="32"/>
          <w:szCs w:val="36"/>
          <w:u w:val="none"/>
          <w:lang w:eastAsia="zh-CN"/>
        </w:rPr>
        <w:t>十一、</w:t>
      </w:r>
      <w:r>
        <w:rPr>
          <w:rFonts w:hint="eastAsia" w:ascii="Times New Roman" w:hAnsi="Times New Roman" w:eastAsia="黑体" w:cs="黑体"/>
          <w:sz w:val="32"/>
          <w:szCs w:val="36"/>
          <w:u w:val="none"/>
        </w:rPr>
        <w:t>一般公共预算机关运行经费支出预算情况说明</w:t>
      </w:r>
    </w:p>
    <w:p w14:paraId="4A1A0EF5">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firstLine="640" w:firstLineChars="200"/>
        <w:textAlignment w:val="auto"/>
        <w:rPr>
          <w:rFonts w:eastAsia="仿宋_GB2312"/>
          <w:sz w:val="32"/>
          <w:szCs w:val="32"/>
          <w:u w:val="none"/>
        </w:rPr>
      </w:pPr>
      <w:r>
        <w:rPr>
          <w:rFonts w:hint="eastAsia" w:ascii="Times New Roman" w:hAnsi="Times New Roman" w:eastAsia="仿宋_GB2312" w:cs="Times New Roman"/>
          <w:sz w:val="32"/>
          <w:szCs w:val="32"/>
          <w:u w:val="none"/>
          <w:lang w:val="en-US" w:eastAsia="zh-CN"/>
        </w:rPr>
        <w:t>2026</w:t>
      </w:r>
      <w:r>
        <w:rPr>
          <w:rFonts w:ascii="Times New Roman" w:hAnsi="Times New Roman" w:eastAsia="仿宋_GB2312" w:cs="Times New Roman"/>
          <w:sz w:val="32"/>
          <w:szCs w:val="32"/>
          <w:u w:val="none"/>
        </w:rPr>
        <w:t>年</w:t>
      </w:r>
      <w:r>
        <w:rPr>
          <w:rFonts w:hint="eastAsia" w:ascii="Times New Roman" w:hAnsi="Times New Roman" w:eastAsia="仿宋_GB2312" w:cs="Times New Roman"/>
          <w:sz w:val="32"/>
          <w:szCs w:val="32"/>
          <w:u w:val="none"/>
          <w:lang w:eastAsia="zh-CN"/>
        </w:rPr>
        <w:t>包头市商务局部门</w:t>
      </w:r>
      <w:r>
        <w:rPr>
          <w:rFonts w:ascii="Times New Roman" w:hAnsi="Times New Roman" w:eastAsia="仿宋_GB2312" w:cs="Times New Roman"/>
          <w:sz w:val="32"/>
          <w:szCs w:val="32"/>
          <w:u w:val="none"/>
        </w:rPr>
        <w:t>一般公共预算机关运行经费预算支出</w:t>
      </w:r>
      <w:r>
        <w:rPr>
          <w:rFonts w:hint="eastAsia" w:ascii="Times New Roman" w:hAnsi="Times New Roman" w:eastAsia="仿宋_GB2312" w:cs="Times New Roman"/>
          <w:sz w:val="32"/>
          <w:szCs w:val="32"/>
          <w:u w:val="none"/>
          <w:lang w:val="en-US" w:eastAsia="zh-CN"/>
        </w:rPr>
        <w:t>55.89</w:t>
      </w:r>
      <w:r>
        <w:rPr>
          <w:rFonts w:ascii="Times New Roman" w:hAnsi="Times New Roman" w:eastAsia="仿宋_GB2312" w:cs="Times New Roman"/>
          <w:sz w:val="32"/>
          <w:szCs w:val="32"/>
          <w:u w:val="none"/>
        </w:rPr>
        <w:t>万元，主要包括以下支出：办公费</w:t>
      </w:r>
      <w:r>
        <w:rPr>
          <w:rFonts w:hint="eastAsia" w:ascii="Times New Roman" w:hAnsi="Times New Roman" w:eastAsia="仿宋_GB2312" w:cs="Times New Roman"/>
          <w:sz w:val="32"/>
          <w:szCs w:val="32"/>
          <w:u w:val="none"/>
          <w:lang w:val="en-US" w:eastAsia="zh-CN"/>
        </w:rPr>
        <w:t>6.83万元</w:t>
      </w:r>
      <w:r>
        <w:rPr>
          <w:rFonts w:ascii="Times New Roman" w:hAnsi="Times New Roman" w:eastAsia="仿宋_GB2312" w:cs="Times New Roman"/>
          <w:sz w:val="32"/>
          <w:szCs w:val="32"/>
          <w:u w:val="none"/>
        </w:rPr>
        <w:t>、印刷费</w:t>
      </w:r>
      <w:r>
        <w:rPr>
          <w:rFonts w:hint="eastAsia" w:ascii="Times New Roman" w:hAnsi="Times New Roman" w:eastAsia="仿宋_GB2312" w:cs="Times New Roman"/>
          <w:sz w:val="32"/>
          <w:szCs w:val="32"/>
          <w:u w:val="none"/>
          <w:lang w:val="en-US" w:eastAsia="zh-CN"/>
        </w:rPr>
        <w:t>0.50万元、</w:t>
      </w:r>
      <w:r>
        <w:rPr>
          <w:rFonts w:ascii="Times New Roman" w:hAnsi="Times New Roman" w:eastAsia="仿宋_GB2312" w:cs="Times New Roman"/>
          <w:sz w:val="32"/>
          <w:szCs w:val="32"/>
          <w:u w:val="none"/>
        </w:rPr>
        <w:t>邮电费</w:t>
      </w:r>
      <w:r>
        <w:rPr>
          <w:rFonts w:hint="eastAsia" w:ascii="Times New Roman" w:hAnsi="Times New Roman" w:eastAsia="仿宋_GB2312" w:cs="Times New Roman"/>
          <w:sz w:val="32"/>
          <w:szCs w:val="32"/>
          <w:u w:val="none"/>
          <w:lang w:val="en-US" w:eastAsia="zh-CN"/>
        </w:rPr>
        <w:t>1.70万元、</w:t>
      </w:r>
      <w:r>
        <w:rPr>
          <w:rFonts w:ascii="Times New Roman" w:hAnsi="Times New Roman" w:eastAsia="仿宋_GB2312" w:cs="Times New Roman"/>
          <w:sz w:val="32"/>
          <w:szCs w:val="32"/>
          <w:u w:val="none"/>
        </w:rPr>
        <w:t>差旅费</w:t>
      </w:r>
      <w:r>
        <w:rPr>
          <w:rFonts w:hint="eastAsia" w:ascii="Times New Roman" w:hAnsi="Times New Roman" w:eastAsia="仿宋_GB2312" w:cs="Times New Roman"/>
          <w:sz w:val="32"/>
          <w:szCs w:val="32"/>
          <w:u w:val="none"/>
          <w:lang w:val="en-US" w:eastAsia="zh-CN"/>
        </w:rPr>
        <w:t>1.75万元</w:t>
      </w:r>
      <w:r>
        <w:rPr>
          <w:rFonts w:hint="eastAsia" w:eastAsia="仿宋_GB2312"/>
          <w:sz w:val="32"/>
          <w:szCs w:val="32"/>
          <w:u w:val="none"/>
          <w:lang w:val="en-US" w:eastAsia="zh-CN"/>
        </w:rPr>
        <w:t>、培训费0.11万元、委托业务费2.69万元、</w:t>
      </w:r>
      <w:r>
        <w:rPr>
          <w:rFonts w:eastAsia="仿宋_GB2312"/>
          <w:sz w:val="32"/>
          <w:szCs w:val="32"/>
          <w:u w:val="none"/>
        </w:rPr>
        <w:t>工会经费</w:t>
      </w:r>
      <w:r>
        <w:rPr>
          <w:rFonts w:hint="eastAsia" w:eastAsia="仿宋_GB2312"/>
          <w:sz w:val="32"/>
          <w:szCs w:val="32"/>
          <w:u w:val="none"/>
          <w:lang w:val="en-US" w:eastAsia="zh-CN"/>
        </w:rPr>
        <w:t>10.69万元、公务用车运行维护费5.00万元、其他商品和服务支出24.76万元、其他对个人和家庭的补助1.86万元</w:t>
      </w:r>
      <w:r>
        <w:rPr>
          <w:rFonts w:eastAsia="仿宋_GB2312"/>
          <w:sz w:val="32"/>
          <w:szCs w:val="32"/>
          <w:u w:val="none"/>
        </w:rPr>
        <w:t>等。</w:t>
      </w:r>
      <w:r>
        <w:rPr>
          <w:rFonts w:eastAsia="仿宋_GB2312"/>
          <w:color w:val="000000" w:themeColor="text1"/>
          <w:sz w:val="32"/>
          <w:szCs w:val="32"/>
          <w:u w:val="none"/>
          <w14:textFill>
            <w14:solidFill>
              <w14:schemeClr w14:val="tx1"/>
            </w14:solidFill>
          </w14:textFill>
        </w:rPr>
        <w:t>与</w:t>
      </w:r>
      <w:r>
        <w:rPr>
          <w:rFonts w:eastAsia="仿宋_GB2312"/>
          <w:sz w:val="32"/>
          <w:szCs w:val="32"/>
          <w:u w:val="none"/>
        </w:rPr>
        <w:t>上年相比增加</w:t>
      </w:r>
      <w:r>
        <w:rPr>
          <w:rFonts w:hint="eastAsia" w:eastAsia="仿宋_GB2312"/>
          <w:sz w:val="32"/>
          <w:szCs w:val="32"/>
          <w:u w:val="none"/>
          <w:lang w:val="en-US" w:eastAsia="zh-CN"/>
        </w:rPr>
        <w:t>2.39</w:t>
      </w:r>
      <w:r>
        <w:rPr>
          <w:rFonts w:eastAsia="仿宋_GB2312"/>
          <w:sz w:val="32"/>
          <w:szCs w:val="32"/>
          <w:u w:val="none"/>
        </w:rPr>
        <w:t>万元，增长</w:t>
      </w:r>
      <w:r>
        <w:rPr>
          <w:rFonts w:hint="eastAsia" w:eastAsia="仿宋_GB2312"/>
          <w:sz w:val="32"/>
          <w:szCs w:val="32"/>
          <w:u w:val="none"/>
          <w:lang w:val="en-US" w:eastAsia="zh-CN"/>
        </w:rPr>
        <w:t>4.47</w:t>
      </w:r>
      <w:r>
        <w:rPr>
          <w:rFonts w:eastAsia="仿宋_GB2312"/>
          <w:sz w:val="32"/>
          <w:szCs w:val="32"/>
          <w:u w:val="none"/>
        </w:rPr>
        <w:t>%。主要原因是：</w:t>
      </w:r>
      <w:r>
        <w:rPr>
          <w:rFonts w:hint="eastAsia" w:eastAsia="仿宋_GB2312"/>
          <w:sz w:val="32"/>
          <w:szCs w:val="32"/>
          <w:u w:val="none"/>
          <w:lang w:eastAsia="zh-CN"/>
        </w:rPr>
        <w:t>调入石丽娜，</w:t>
      </w:r>
      <w:r>
        <w:rPr>
          <w:rFonts w:hint="eastAsia" w:eastAsia="仿宋_GB2312" w:cs="Times New Roman"/>
          <w:sz w:val="32"/>
          <w:szCs w:val="32"/>
          <w:lang w:eastAsia="zh-CN"/>
        </w:rPr>
        <w:t>人员职务晋升，日常公用经费定额标准增加</w:t>
      </w:r>
      <w:r>
        <w:rPr>
          <w:rFonts w:hint="default" w:ascii="Times New Roman" w:hAnsi="Times New Roman" w:eastAsia="仿宋_GB2312" w:cs="Times New Roman"/>
          <w:sz w:val="32"/>
          <w:szCs w:val="32"/>
        </w:rPr>
        <w:t>。</w:t>
      </w:r>
    </w:p>
    <w:p w14:paraId="29AB182F">
      <w:pPr>
        <w:pBdr>
          <w:bottom w:val="single" w:color="FFFFFF" w:sz="4" w:space="30"/>
        </w:pBdr>
        <w:snapToGrid w:val="0"/>
        <w:spacing w:line="600" w:lineRule="exact"/>
        <w:rPr>
          <w:rFonts w:eastAsia="仿宋_GB2312" w:cstheme="minorBidi"/>
          <w:sz w:val="32"/>
          <w:szCs w:val="32"/>
          <w:highlight w:val="yellow"/>
          <w:u w:val="none"/>
        </w:rPr>
      </w:pPr>
      <w:r>
        <w:rPr>
          <w:rFonts w:hint="eastAsia" w:eastAsia="黑体" w:cs="黑体"/>
          <w:sz w:val="32"/>
          <w:szCs w:val="36"/>
          <w:u w:val="none"/>
        </w:rPr>
        <w:t xml:space="preserve">    十二、政府采购支出预算情况说明</w:t>
      </w:r>
    </w:p>
    <w:p w14:paraId="330A1FD1">
      <w:pPr>
        <w:pBdr>
          <w:bottom w:val="single" w:color="FFFFFF" w:sz="4" w:space="30"/>
        </w:pBdr>
        <w:snapToGrid w:val="0"/>
        <w:spacing w:line="600" w:lineRule="exact"/>
        <w:ind w:firstLine="640" w:firstLineChars="200"/>
        <w:rPr>
          <w:rFonts w:eastAsia="仿宋_GB2312"/>
          <w:color w:val="FF0000"/>
          <w:sz w:val="32"/>
          <w:szCs w:val="32"/>
          <w:u w:val="none"/>
        </w:rPr>
      </w:pPr>
      <w:r>
        <w:rPr>
          <w:rFonts w:hint="eastAsia" w:eastAsia="仿宋_GB2312"/>
          <w:sz w:val="32"/>
          <w:szCs w:val="32"/>
          <w:u w:val="none"/>
          <w:lang w:val="en-US" w:eastAsia="zh-CN"/>
        </w:rPr>
        <w:t>2026</w:t>
      </w:r>
      <w:r>
        <w:rPr>
          <w:rFonts w:eastAsia="仿宋_GB2312"/>
          <w:sz w:val="32"/>
          <w:szCs w:val="32"/>
          <w:u w:val="none"/>
        </w:rPr>
        <w:t>年度政府采购支出预算总额</w:t>
      </w:r>
      <w:r>
        <w:rPr>
          <w:rFonts w:hint="eastAsia" w:eastAsia="仿宋_GB2312"/>
          <w:sz w:val="32"/>
          <w:szCs w:val="32"/>
          <w:u w:val="none"/>
          <w:lang w:val="en-US" w:eastAsia="zh-CN"/>
        </w:rPr>
        <w:t>140.40</w:t>
      </w:r>
      <w:r>
        <w:rPr>
          <w:rFonts w:eastAsia="仿宋_GB2312"/>
          <w:sz w:val="32"/>
          <w:szCs w:val="32"/>
          <w:u w:val="none"/>
        </w:rPr>
        <w:t>万元，其中：拟采购货物支出</w:t>
      </w:r>
      <w:r>
        <w:rPr>
          <w:rFonts w:hint="eastAsia" w:eastAsia="仿宋_GB2312"/>
          <w:sz w:val="32"/>
          <w:szCs w:val="32"/>
          <w:u w:val="none"/>
          <w:lang w:val="en-US" w:eastAsia="zh-CN"/>
        </w:rPr>
        <w:t>2.00</w:t>
      </w:r>
      <w:r>
        <w:rPr>
          <w:rFonts w:eastAsia="仿宋_GB2312"/>
          <w:sz w:val="32"/>
          <w:szCs w:val="32"/>
          <w:u w:val="none"/>
        </w:rPr>
        <w:t>万元、拟采购工程支出</w:t>
      </w:r>
      <w:r>
        <w:rPr>
          <w:rFonts w:hint="eastAsia" w:eastAsia="仿宋_GB2312"/>
          <w:sz w:val="32"/>
          <w:szCs w:val="32"/>
          <w:u w:val="none"/>
          <w:lang w:val="en-US" w:eastAsia="zh-CN"/>
        </w:rPr>
        <w:t>0</w:t>
      </w:r>
      <w:r>
        <w:rPr>
          <w:rFonts w:eastAsia="仿宋_GB2312"/>
          <w:sz w:val="32"/>
          <w:szCs w:val="32"/>
          <w:u w:val="none"/>
        </w:rPr>
        <w:t>万元、拟购买服务支出</w:t>
      </w:r>
      <w:r>
        <w:rPr>
          <w:rFonts w:hint="eastAsia" w:eastAsia="仿宋_GB2312"/>
          <w:sz w:val="32"/>
          <w:szCs w:val="32"/>
          <w:u w:val="none"/>
          <w:lang w:val="en-US" w:eastAsia="zh-CN"/>
        </w:rPr>
        <w:t>138.40</w:t>
      </w:r>
      <w:r>
        <w:rPr>
          <w:rFonts w:eastAsia="仿宋_GB2312"/>
          <w:sz w:val="32"/>
          <w:szCs w:val="32"/>
          <w:u w:val="none"/>
        </w:rPr>
        <w:t>万元。</w:t>
      </w:r>
      <w:r>
        <w:rPr>
          <w:rFonts w:eastAsia="仿宋_GB2312"/>
          <w:color w:val="auto"/>
          <w:sz w:val="32"/>
          <w:szCs w:val="32"/>
          <w:u w:val="none"/>
        </w:rPr>
        <w:t>涵盖“</w:t>
      </w:r>
      <w:r>
        <w:rPr>
          <w:rFonts w:hint="eastAsia" w:eastAsia="仿宋_GB2312"/>
          <w:color w:val="auto"/>
          <w:sz w:val="32"/>
          <w:szCs w:val="32"/>
          <w:u w:val="none"/>
        </w:rPr>
        <w:t>车辆维修和保养服务</w:t>
      </w:r>
      <w:r>
        <w:rPr>
          <w:rFonts w:eastAsia="仿宋_GB2312"/>
          <w:color w:val="auto"/>
          <w:sz w:val="32"/>
          <w:szCs w:val="32"/>
          <w:u w:val="none"/>
        </w:rPr>
        <w:t>”、“</w:t>
      </w:r>
      <w:r>
        <w:rPr>
          <w:rFonts w:hint="eastAsia" w:eastAsia="仿宋_GB2312"/>
          <w:color w:val="auto"/>
          <w:sz w:val="32"/>
          <w:szCs w:val="32"/>
          <w:u w:val="none"/>
        </w:rPr>
        <w:t>其他商务服务</w:t>
      </w:r>
      <w:r>
        <w:rPr>
          <w:rFonts w:eastAsia="仿宋_GB2312"/>
          <w:color w:val="auto"/>
          <w:sz w:val="32"/>
          <w:szCs w:val="32"/>
          <w:u w:val="none"/>
        </w:rPr>
        <w:t>”、</w:t>
      </w:r>
      <w:r>
        <w:rPr>
          <w:rFonts w:hint="eastAsia" w:eastAsia="仿宋_GB2312"/>
          <w:color w:val="auto"/>
          <w:sz w:val="32"/>
          <w:szCs w:val="32"/>
          <w:u w:val="none"/>
          <w:lang w:eastAsia="zh-CN"/>
        </w:rPr>
        <w:t>“复印纸”</w:t>
      </w:r>
      <w:r>
        <w:rPr>
          <w:rFonts w:eastAsia="仿宋_GB2312"/>
          <w:color w:val="auto"/>
          <w:sz w:val="32"/>
          <w:szCs w:val="32"/>
          <w:u w:val="none"/>
        </w:rPr>
        <w:t>等采购大类，编制政府采购预算明细</w:t>
      </w:r>
      <w:r>
        <w:rPr>
          <w:rFonts w:hint="eastAsia" w:eastAsia="仿宋_GB2312"/>
          <w:color w:val="auto"/>
          <w:sz w:val="32"/>
          <w:szCs w:val="32"/>
          <w:u w:val="none"/>
          <w:lang w:val="en-US" w:eastAsia="zh-CN"/>
        </w:rPr>
        <w:t>10</w:t>
      </w:r>
      <w:r>
        <w:rPr>
          <w:rFonts w:eastAsia="仿宋_GB2312"/>
          <w:color w:val="auto"/>
          <w:sz w:val="32"/>
          <w:szCs w:val="32"/>
          <w:u w:val="none"/>
        </w:rPr>
        <w:t>项，采购金额来源为</w:t>
      </w:r>
      <w:r>
        <w:rPr>
          <w:rFonts w:hint="eastAsia" w:eastAsia="仿宋_GB2312"/>
          <w:color w:val="auto"/>
          <w:sz w:val="32"/>
          <w:szCs w:val="32"/>
          <w:u w:val="none"/>
          <w:lang w:eastAsia="zh-CN"/>
        </w:rPr>
        <w:t>一般公共预算财政拨款</w:t>
      </w:r>
      <w:r>
        <w:rPr>
          <w:rFonts w:eastAsia="仿宋_GB2312"/>
          <w:color w:val="auto"/>
          <w:sz w:val="32"/>
          <w:szCs w:val="32"/>
          <w:u w:val="none"/>
        </w:rPr>
        <w:t>。</w:t>
      </w:r>
    </w:p>
    <w:p w14:paraId="5040262B">
      <w:pPr>
        <w:pBdr>
          <w:bottom w:val="single" w:color="FFFFFF" w:sz="4" w:space="30"/>
        </w:pBdr>
        <w:snapToGrid w:val="0"/>
        <w:spacing w:line="600" w:lineRule="exact"/>
        <w:rPr>
          <w:rFonts w:eastAsia="黑体" w:cs="黑体"/>
          <w:sz w:val="32"/>
          <w:szCs w:val="36"/>
          <w:u w:val="none"/>
        </w:rPr>
      </w:pPr>
      <w:r>
        <w:rPr>
          <w:rFonts w:hint="eastAsia" w:eastAsia="黑体" w:cs="黑体"/>
          <w:sz w:val="32"/>
          <w:szCs w:val="36"/>
          <w:u w:val="none"/>
        </w:rPr>
        <w:t xml:space="preserve">    十三、国有资产占用情况说明</w:t>
      </w:r>
    </w:p>
    <w:p w14:paraId="2AC3723C">
      <w:pPr>
        <w:pBdr>
          <w:bottom w:val="single" w:color="FFFFFF" w:sz="4" w:space="30"/>
        </w:pBdr>
        <w:snapToGrid w:val="0"/>
        <w:spacing w:line="600" w:lineRule="exact"/>
        <w:ind w:firstLine="640" w:firstLineChars="200"/>
        <w:rPr>
          <w:rFonts w:eastAsia="仿宋_GB2312"/>
          <w:sz w:val="32"/>
          <w:szCs w:val="32"/>
          <w:u w:val="none"/>
        </w:rPr>
      </w:pPr>
      <w:r>
        <w:rPr>
          <w:rFonts w:eastAsia="仿宋_GB2312"/>
          <w:sz w:val="32"/>
          <w:szCs w:val="32"/>
          <w:u w:val="none"/>
        </w:rPr>
        <w:t>本</w:t>
      </w:r>
      <w:r>
        <w:rPr>
          <w:rFonts w:hint="eastAsia" w:eastAsia="仿宋_GB2312"/>
          <w:sz w:val="32"/>
          <w:szCs w:val="32"/>
          <w:u w:val="none"/>
          <w:lang w:eastAsia="zh-CN"/>
        </w:rPr>
        <w:t>部门</w:t>
      </w:r>
      <w:r>
        <w:rPr>
          <w:rFonts w:eastAsia="仿宋_GB2312"/>
          <w:sz w:val="32"/>
          <w:szCs w:val="32"/>
          <w:u w:val="none"/>
        </w:rPr>
        <w:t>共有车辆</w:t>
      </w:r>
      <w:r>
        <w:rPr>
          <w:rFonts w:hint="eastAsia" w:eastAsia="仿宋_GB2312"/>
          <w:sz w:val="32"/>
          <w:szCs w:val="32"/>
          <w:u w:val="none"/>
          <w:lang w:val="en-US" w:eastAsia="zh-CN"/>
        </w:rPr>
        <w:t>2</w:t>
      </w:r>
      <w:r>
        <w:rPr>
          <w:rFonts w:eastAsia="仿宋_GB2312"/>
          <w:sz w:val="32"/>
          <w:szCs w:val="32"/>
          <w:u w:val="none"/>
        </w:rPr>
        <w:t>辆，其中，一般公务用车</w:t>
      </w:r>
      <w:r>
        <w:rPr>
          <w:rFonts w:hint="eastAsia" w:eastAsia="仿宋_GB2312"/>
          <w:sz w:val="32"/>
          <w:szCs w:val="32"/>
          <w:u w:val="none"/>
          <w:lang w:val="en-US" w:eastAsia="zh-CN"/>
        </w:rPr>
        <w:t>2</w:t>
      </w:r>
      <w:r>
        <w:rPr>
          <w:rFonts w:eastAsia="仿宋_GB2312"/>
          <w:sz w:val="32"/>
          <w:szCs w:val="32"/>
          <w:u w:val="none"/>
        </w:rPr>
        <w:t>辆、执法执勤用车</w:t>
      </w:r>
      <w:r>
        <w:rPr>
          <w:rFonts w:hint="eastAsia" w:eastAsia="仿宋_GB2312"/>
          <w:sz w:val="32"/>
          <w:szCs w:val="32"/>
          <w:u w:val="none"/>
          <w:lang w:val="en-US" w:eastAsia="zh-CN"/>
        </w:rPr>
        <w:t>0</w:t>
      </w:r>
      <w:r>
        <w:rPr>
          <w:rFonts w:eastAsia="仿宋_GB2312"/>
          <w:sz w:val="32"/>
          <w:szCs w:val="32"/>
          <w:u w:val="none"/>
        </w:rPr>
        <w:t>辆、特种专业技术用车</w:t>
      </w:r>
      <w:r>
        <w:rPr>
          <w:rFonts w:hint="eastAsia" w:eastAsia="仿宋_GB2312"/>
          <w:sz w:val="32"/>
          <w:szCs w:val="32"/>
          <w:u w:val="none"/>
          <w:lang w:val="en-US" w:eastAsia="zh-CN"/>
        </w:rPr>
        <w:t>0</w:t>
      </w:r>
      <w:r>
        <w:rPr>
          <w:rFonts w:eastAsia="仿宋_GB2312"/>
          <w:sz w:val="32"/>
          <w:szCs w:val="32"/>
          <w:u w:val="none"/>
        </w:rPr>
        <w:t>辆、业务用车</w:t>
      </w:r>
      <w:r>
        <w:rPr>
          <w:rFonts w:hint="eastAsia" w:eastAsia="仿宋_GB2312"/>
          <w:sz w:val="32"/>
          <w:szCs w:val="32"/>
          <w:u w:val="none"/>
          <w:lang w:val="en-US" w:eastAsia="zh-CN"/>
        </w:rPr>
        <w:t>0</w:t>
      </w:r>
      <w:r>
        <w:rPr>
          <w:rFonts w:eastAsia="仿宋_GB2312"/>
          <w:sz w:val="32"/>
          <w:szCs w:val="32"/>
          <w:u w:val="none"/>
        </w:rPr>
        <w:t>辆、其他用车</w:t>
      </w:r>
      <w:r>
        <w:rPr>
          <w:rFonts w:hint="eastAsia" w:eastAsia="仿宋_GB2312"/>
          <w:sz w:val="32"/>
          <w:szCs w:val="32"/>
          <w:u w:val="none"/>
          <w:lang w:val="en-US" w:eastAsia="zh-CN"/>
        </w:rPr>
        <w:t>0</w:t>
      </w:r>
      <w:r>
        <w:rPr>
          <w:rFonts w:eastAsia="仿宋_GB2312"/>
          <w:sz w:val="32"/>
          <w:szCs w:val="32"/>
          <w:u w:val="none"/>
        </w:rPr>
        <w:t>辆等。单价50万元（含）以上的通用设备</w:t>
      </w:r>
      <w:r>
        <w:rPr>
          <w:rFonts w:hint="eastAsia" w:eastAsia="仿宋_GB2312"/>
          <w:sz w:val="32"/>
          <w:szCs w:val="32"/>
          <w:u w:val="none"/>
          <w:lang w:val="en-US" w:eastAsia="zh-CN"/>
        </w:rPr>
        <w:t>0</w:t>
      </w:r>
      <w:r>
        <w:rPr>
          <w:rFonts w:eastAsia="仿宋_GB2312"/>
          <w:sz w:val="32"/>
          <w:szCs w:val="32"/>
          <w:u w:val="none"/>
        </w:rPr>
        <w:t>台（套），单价100万元（含）以上的专用设备</w:t>
      </w:r>
      <w:r>
        <w:rPr>
          <w:rFonts w:hint="eastAsia" w:eastAsia="仿宋_GB2312"/>
          <w:sz w:val="32"/>
          <w:szCs w:val="32"/>
          <w:u w:val="none"/>
          <w:lang w:val="en-US" w:eastAsia="zh-CN"/>
        </w:rPr>
        <w:t>0</w:t>
      </w:r>
      <w:r>
        <w:rPr>
          <w:rFonts w:eastAsia="仿宋_GB2312"/>
          <w:sz w:val="32"/>
          <w:szCs w:val="32"/>
          <w:u w:val="none"/>
        </w:rPr>
        <w:t>台（套）。</w:t>
      </w:r>
    </w:p>
    <w:p w14:paraId="314BD744">
      <w:pPr>
        <w:pBdr>
          <w:bottom w:val="single" w:color="FFFFFF" w:sz="4" w:space="30"/>
        </w:pBdr>
        <w:snapToGrid w:val="0"/>
        <w:spacing w:line="600" w:lineRule="exact"/>
        <w:rPr>
          <w:rFonts w:eastAsia="仿宋_GB2312" w:cstheme="minorBidi"/>
          <w:sz w:val="32"/>
          <w:szCs w:val="32"/>
          <w:u w:val="none"/>
        </w:rPr>
      </w:pPr>
      <w:r>
        <w:rPr>
          <w:rFonts w:hint="eastAsia" w:eastAsia="黑体" w:cs="黑体"/>
          <w:sz w:val="32"/>
          <w:szCs w:val="36"/>
          <w:u w:val="none"/>
        </w:rPr>
        <w:t xml:space="preserve">    十四、项目绩效目标情况说明</w:t>
      </w:r>
      <w:r>
        <w:rPr>
          <w:rFonts w:hint="eastAsia" w:eastAsia="黑体" w:cs="黑体"/>
          <w:b/>
          <w:bCs/>
          <w:sz w:val="32"/>
          <w:szCs w:val="36"/>
          <w:u w:val="none"/>
        </w:rPr>
        <w:t xml:space="preserve"> </w:t>
      </w:r>
    </w:p>
    <w:p w14:paraId="4CDE73BD">
      <w:pPr>
        <w:pBdr>
          <w:bottom w:val="single" w:color="FFFFFF" w:sz="4" w:space="30"/>
        </w:pBdr>
        <w:snapToGrid w:val="0"/>
        <w:spacing w:line="600" w:lineRule="exact"/>
        <w:ind w:firstLine="640"/>
        <w:rPr>
          <w:rFonts w:hint="eastAsia" w:eastAsia="仿宋_GB2312" w:cstheme="minorBidi"/>
          <w:sz w:val="32"/>
          <w:szCs w:val="32"/>
          <w:u w:val="none"/>
        </w:rPr>
      </w:pPr>
      <w:r>
        <w:rPr>
          <w:rFonts w:hint="eastAsia" w:eastAsia="仿宋_GB2312" w:cstheme="minorBidi"/>
          <w:sz w:val="32"/>
          <w:szCs w:val="32"/>
          <w:u w:val="none"/>
          <w:lang w:val="en-US" w:eastAsia="zh-CN"/>
        </w:rPr>
        <w:t>2026</w:t>
      </w:r>
      <w:r>
        <w:rPr>
          <w:rFonts w:hint="eastAsia" w:eastAsia="仿宋_GB2312" w:cstheme="minorBidi"/>
          <w:sz w:val="32"/>
          <w:szCs w:val="32"/>
          <w:u w:val="none"/>
        </w:rPr>
        <w:t>年，填报绩效目标的预算项目</w:t>
      </w:r>
      <w:r>
        <w:rPr>
          <w:rFonts w:hint="eastAsia" w:eastAsia="仿宋_GB2312" w:cstheme="minorBidi"/>
          <w:sz w:val="32"/>
          <w:szCs w:val="32"/>
          <w:u w:val="none"/>
          <w:lang w:val="en-US" w:eastAsia="zh-CN"/>
        </w:rPr>
        <w:t>7</w:t>
      </w:r>
      <w:r>
        <w:rPr>
          <w:rFonts w:hint="eastAsia" w:eastAsia="仿宋_GB2312" w:cstheme="minorBidi"/>
          <w:sz w:val="32"/>
          <w:szCs w:val="32"/>
          <w:u w:val="none"/>
        </w:rPr>
        <w:t>个，公开绩效目标</w:t>
      </w:r>
      <w:r>
        <w:rPr>
          <w:rFonts w:hint="eastAsia" w:eastAsia="仿宋_GB2312" w:cstheme="minorBidi"/>
          <w:sz w:val="32"/>
          <w:szCs w:val="32"/>
          <w:u w:val="none"/>
          <w:lang w:val="en-US" w:eastAsia="zh-CN"/>
        </w:rPr>
        <w:t>6</w:t>
      </w:r>
      <w:r>
        <w:rPr>
          <w:rFonts w:hint="eastAsia" w:eastAsia="仿宋_GB2312" w:cstheme="minorBidi"/>
          <w:sz w:val="32"/>
          <w:szCs w:val="32"/>
          <w:u w:val="none"/>
        </w:rPr>
        <w:t>个，公开项目占本年预算项目的</w:t>
      </w:r>
      <w:r>
        <w:rPr>
          <w:rFonts w:hint="eastAsia" w:eastAsia="仿宋_GB2312" w:cstheme="minorBidi"/>
          <w:sz w:val="32"/>
          <w:szCs w:val="32"/>
          <w:u w:val="none"/>
          <w:lang w:val="en-US" w:eastAsia="zh-CN"/>
        </w:rPr>
        <w:t>85.71</w:t>
      </w:r>
      <w:r>
        <w:rPr>
          <w:rFonts w:hint="eastAsia" w:eastAsia="仿宋_GB2312" w:cstheme="minorBidi"/>
          <w:sz w:val="32"/>
          <w:szCs w:val="32"/>
          <w:u w:val="none"/>
        </w:rPr>
        <w:t>%。公开填报绩效目标的项目预算</w:t>
      </w:r>
      <w:r>
        <w:rPr>
          <w:rFonts w:hint="eastAsia" w:eastAsia="仿宋_GB2312" w:cstheme="minorBidi"/>
          <w:sz w:val="32"/>
          <w:szCs w:val="32"/>
          <w:u w:val="none"/>
          <w:lang w:val="en-US" w:eastAsia="zh-CN"/>
        </w:rPr>
        <w:t>302.72</w:t>
      </w:r>
      <w:r>
        <w:rPr>
          <w:rFonts w:hint="eastAsia" w:eastAsia="仿宋_GB2312" w:cstheme="minorBidi"/>
          <w:sz w:val="32"/>
          <w:szCs w:val="32"/>
          <w:u w:val="none"/>
        </w:rPr>
        <w:t>万元，占本年项目预算的</w:t>
      </w:r>
      <w:r>
        <w:rPr>
          <w:rFonts w:hint="eastAsia" w:eastAsia="仿宋_GB2312" w:cstheme="minorBidi"/>
          <w:sz w:val="32"/>
          <w:szCs w:val="32"/>
          <w:u w:val="none"/>
          <w:lang w:val="en-US" w:eastAsia="zh-CN"/>
        </w:rPr>
        <w:t>75.17</w:t>
      </w:r>
      <w:r>
        <w:rPr>
          <w:rFonts w:hint="eastAsia" w:eastAsia="仿宋_GB2312" w:cstheme="minorBidi"/>
          <w:sz w:val="32"/>
          <w:szCs w:val="32"/>
          <w:u w:val="none"/>
        </w:rPr>
        <w:t>%。</w:t>
      </w:r>
    </w:p>
    <w:p w14:paraId="2B87E140">
      <w:pPr>
        <w:pBdr>
          <w:bottom w:val="single" w:color="FFFFFF" w:sz="4" w:space="30"/>
        </w:pBdr>
        <w:snapToGrid w:val="0"/>
        <w:spacing w:line="600" w:lineRule="exact"/>
        <w:ind w:firstLine="640"/>
        <w:rPr>
          <w:rFonts w:hint="eastAsia" w:eastAsia="仿宋_GB2312" w:cstheme="minorBidi"/>
          <w:sz w:val="32"/>
          <w:szCs w:val="32"/>
          <w:u w:val="none"/>
        </w:rPr>
      </w:pPr>
    </w:p>
    <w:p w14:paraId="3FE29EEE">
      <w:pPr>
        <w:pBdr>
          <w:bottom w:val="single" w:color="FFFFFF" w:sz="4" w:space="30"/>
        </w:pBdr>
        <w:snapToGrid w:val="0"/>
        <w:spacing w:line="600" w:lineRule="exact"/>
        <w:ind w:firstLine="640"/>
        <w:rPr>
          <w:rFonts w:hint="eastAsia" w:eastAsia="仿宋_GB2312" w:cstheme="minorBidi"/>
          <w:sz w:val="32"/>
          <w:szCs w:val="32"/>
          <w:u w:val="none"/>
        </w:rPr>
      </w:pPr>
    </w:p>
    <w:p w14:paraId="499DDC84">
      <w:pPr>
        <w:pBdr>
          <w:bottom w:val="single" w:color="FFFFFF" w:sz="4" w:space="30"/>
        </w:pBdr>
        <w:snapToGrid w:val="0"/>
        <w:spacing w:line="600" w:lineRule="exact"/>
        <w:ind w:firstLine="640"/>
        <w:rPr>
          <w:rFonts w:hint="eastAsia" w:eastAsia="仿宋_GB2312" w:cstheme="minorBidi"/>
          <w:sz w:val="32"/>
          <w:szCs w:val="32"/>
          <w:u w:val="none"/>
        </w:rPr>
      </w:pPr>
    </w:p>
    <w:p w14:paraId="729F714C">
      <w:pPr>
        <w:pBdr>
          <w:bottom w:val="single" w:color="FFFFFF" w:sz="4" w:space="30"/>
        </w:pBdr>
        <w:snapToGrid w:val="0"/>
        <w:spacing w:line="600" w:lineRule="exact"/>
        <w:ind w:firstLine="640"/>
        <w:rPr>
          <w:rFonts w:hint="eastAsia" w:eastAsia="仿宋_GB2312" w:cstheme="minorBidi"/>
          <w:sz w:val="32"/>
          <w:szCs w:val="32"/>
          <w:u w:val="none"/>
        </w:rPr>
      </w:pPr>
    </w:p>
    <w:p w14:paraId="2FF17A2F">
      <w:pPr>
        <w:pBdr>
          <w:bottom w:val="single" w:color="FFFFFF" w:sz="4" w:space="30"/>
        </w:pBdr>
        <w:snapToGrid w:val="0"/>
        <w:spacing w:line="600" w:lineRule="exact"/>
        <w:ind w:firstLine="640"/>
        <w:rPr>
          <w:rFonts w:hint="eastAsia" w:eastAsia="仿宋_GB2312" w:cstheme="minorBidi"/>
          <w:sz w:val="32"/>
          <w:szCs w:val="32"/>
          <w:u w:val="none"/>
        </w:rPr>
      </w:pPr>
    </w:p>
    <w:p w14:paraId="5063236E">
      <w:pPr>
        <w:pBdr>
          <w:bottom w:val="single" w:color="FFFFFF" w:sz="4" w:space="30"/>
        </w:pBdr>
        <w:snapToGrid w:val="0"/>
        <w:spacing w:line="600" w:lineRule="exact"/>
        <w:ind w:firstLine="640"/>
        <w:rPr>
          <w:rFonts w:hint="eastAsia" w:eastAsia="仿宋_GB2312" w:cstheme="minorBidi"/>
          <w:sz w:val="32"/>
          <w:szCs w:val="32"/>
          <w:u w:val="none"/>
        </w:rPr>
      </w:pPr>
    </w:p>
    <w:p w14:paraId="243EC3FA">
      <w:pPr>
        <w:pBdr>
          <w:bottom w:val="single" w:color="FFFFFF" w:sz="4" w:space="30"/>
        </w:pBdr>
        <w:snapToGrid w:val="0"/>
        <w:spacing w:line="600" w:lineRule="exact"/>
        <w:ind w:firstLine="640"/>
        <w:rPr>
          <w:rFonts w:hint="eastAsia" w:eastAsia="仿宋_GB2312" w:cstheme="minorBidi"/>
          <w:sz w:val="32"/>
          <w:szCs w:val="32"/>
          <w:u w:val="none"/>
        </w:rPr>
      </w:pPr>
    </w:p>
    <w:p w14:paraId="61E18C66">
      <w:pPr>
        <w:pBdr>
          <w:bottom w:val="single" w:color="FFFFFF" w:sz="4" w:space="30"/>
        </w:pBdr>
        <w:snapToGrid w:val="0"/>
        <w:spacing w:line="600" w:lineRule="exact"/>
        <w:ind w:firstLine="640"/>
        <w:rPr>
          <w:rFonts w:hint="eastAsia" w:eastAsia="仿宋_GB2312" w:cstheme="minorBidi"/>
          <w:sz w:val="32"/>
          <w:szCs w:val="32"/>
          <w:u w:val="none"/>
        </w:rPr>
      </w:pPr>
    </w:p>
    <w:p w14:paraId="00C22484">
      <w:pPr>
        <w:pBdr>
          <w:bottom w:val="single" w:color="FFFFFF" w:sz="4" w:space="30"/>
        </w:pBdr>
        <w:snapToGrid w:val="0"/>
        <w:spacing w:line="600" w:lineRule="exact"/>
        <w:ind w:firstLine="640"/>
        <w:rPr>
          <w:rFonts w:hint="eastAsia" w:eastAsia="仿宋_GB2312" w:cstheme="minorBidi"/>
          <w:sz w:val="32"/>
          <w:szCs w:val="32"/>
          <w:u w:val="none"/>
        </w:rPr>
      </w:pPr>
    </w:p>
    <w:p w14:paraId="73666080">
      <w:pPr>
        <w:pBdr>
          <w:bottom w:val="single" w:color="FFFFFF" w:sz="4" w:space="30"/>
        </w:pBdr>
        <w:snapToGrid w:val="0"/>
        <w:spacing w:line="600" w:lineRule="exact"/>
        <w:ind w:firstLine="640"/>
        <w:rPr>
          <w:rFonts w:hint="eastAsia" w:eastAsia="仿宋_GB2312" w:cstheme="minorBidi"/>
          <w:sz w:val="32"/>
          <w:szCs w:val="32"/>
          <w:u w:val="none"/>
        </w:rPr>
      </w:pPr>
    </w:p>
    <w:p w14:paraId="151D925C">
      <w:pPr>
        <w:pBdr>
          <w:bottom w:val="single" w:color="FFFFFF" w:sz="4" w:space="30"/>
        </w:pBdr>
        <w:snapToGrid w:val="0"/>
        <w:spacing w:line="600" w:lineRule="exact"/>
        <w:ind w:firstLine="640"/>
        <w:rPr>
          <w:rFonts w:hint="eastAsia" w:eastAsia="仿宋_GB2312" w:cstheme="minorBidi"/>
          <w:sz w:val="32"/>
          <w:szCs w:val="32"/>
          <w:u w:val="none"/>
        </w:rPr>
      </w:pPr>
    </w:p>
    <w:p w14:paraId="410FEF28">
      <w:pPr>
        <w:pStyle w:val="5"/>
        <w:tabs>
          <w:tab w:val="left" w:pos="4392"/>
        </w:tabs>
        <w:spacing w:before="0" w:after="0" w:line="600" w:lineRule="exact"/>
        <w:ind w:firstLine="720" w:firstLineChars="200"/>
        <w:jc w:val="center"/>
        <w:rPr>
          <w:rFonts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第三部分   名词解释</w:t>
      </w:r>
    </w:p>
    <w:p w14:paraId="10E1EFF9">
      <w:pPr>
        <w:rPr>
          <w:sz w:val="36"/>
          <w:szCs w:val="36"/>
          <w:u w:val="none"/>
        </w:rPr>
      </w:pPr>
    </w:p>
    <w:p w14:paraId="5B238943">
      <w:pPr>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rPr>
        <w:t>一、财政拨款：</w:t>
      </w:r>
      <w:r>
        <w:rPr>
          <w:rFonts w:hint="eastAsia" w:eastAsia="仿宋_GB2312" w:cstheme="minorBidi"/>
          <w:sz w:val="32"/>
          <w:szCs w:val="32"/>
          <w:u w:val="none"/>
        </w:rPr>
        <w:t>部门从同级财政部门取得的各类财政拨款，包括一般公共预算拨款、政府性基金预算拨款、国有资本经营预算拨款。</w:t>
      </w:r>
    </w:p>
    <w:p w14:paraId="18E9B5C7">
      <w:pPr>
        <w:spacing w:line="600" w:lineRule="exact"/>
        <w:ind w:firstLine="643" w:firstLineChars="200"/>
        <w:rPr>
          <w:u w:val="none"/>
        </w:rPr>
      </w:pPr>
      <w:r>
        <w:rPr>
          <w:rFonts w:hint="eastAsia" w:eastAsia="仿宋_GB2312" w:cstheme="minorBidi"/>
          <w:b/>
          <w:bCs/>
          <w:sz w:val="32"/>
          <w:szCs w:val="32"/>
          <w:u w:val="none"/>
        </w:rPr>
        <w:t>二、一般公共预算拨款收入：</w:t>
      </w:r>
      <w:r>
        <w:rPr>
          <w:rFonts w:hint="eastAsia" w:ascii="仿宋" w:hAnsi="仿宋" w:eastAsia="仿宋" w:cs="仿宋"/>
          <w:bCs/>
          <w:sz w:val="30"/>
          <w:szCs w:val="30"/>
          <w:u w:val="none"/>
        </w:rPr>
        <w:t>指市级财政当年拨付的资金。</w:t>
      </w:r>
    </w:p>
    <w:p w14:paraId="3580DF37">
      <w:pPr>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lang w:val="en-US" w:eastAsia="zh-CN"/>
        </w:rPr>
        <w:t>三</w:t>
      </w:r>
      <w:r>
        <w:rPr>
          <w:rFonts w:hint="eastAsia" w:eastAsia="仿宋_GB2312" w:cstheme="minorBidi"/>
          <w:b/>
          <w:bCs/>
          <w:sz w:val="32"/>
          <w:szCs w:val="32"/>
          <w:u w:val="none"/>
        </w:rPr>
        <w:t>、基本支出：</w:t>
      </w:r>
      <w:r>
        <w:rPr>
          <w:rFonts w:hint="eastAsia" w:eastAsia="仿宋_GB2312" w:cstheme="minorBidi"/>
          <w:sz w:val="32"/>
          <w:szCs w:val="32"/>
          <w:u w:val="none"/>
        </w:rPr>
        <w:t>指为保障机构正常运转、完成工作任务而发生的人员支出和公用支出。</w:t>
      </w:r>
    </w:p>
    <w:p w14:paraId="6AC8253A">
      <w:pPr>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lang w:val="en-US" w:eastAsia="zh-CN"/>
        </w:rPr>
        <w:t>四</w:t>
      </w:r>
      <w:r>
        <w:rPr>
          <w:rFonts w:hint="eastAsia" w:eastAsia="仿宋_GB2312" w:cstheme="minorBidi"/>
          <w:b/>
          <w:bCs/>
          <w:sz w:val="32"/>
          <w:szCs w:val="32"/>
          <w:u w:val="none"/>
        </w:rPr>
        <w:t>、项目支出：</w:t>
      </w:r>
      <w:r>
        <w:rPr>
          <w:rFonts w:hint="eastAsia" w:eastAsia="仿宋_GB2312" w:cstheme="minorBidi"/>
          <w:sz w:val="32"/>
          <w:szCs w:val="32"/>
          <w:u w:val="none"/>
        </w:rPr>
        <w:t>指在基本支出之外为完成特定工作任务和事业发展目标所发生的支出。</w:t>
      </w:r>
    </w:p>
    <w:p w14:paraId="099180DD">
      <w:pPr>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lang w:val="en-US" w:eastAsia="zh-CN"/>
        </w:rPr>
        <w:t>五</w:t>
      </w:r>
      <w:r>
        <w:rPr>
          <w:rFonts w:hint="eastAsia" w:eastAsia="仿宋_GB2312" w:cstheme="minorBidi"/>
          <w:b/>
          <w:bCs/>
          <w:sz w:val="32"/>
          <w:szCs w:val="32"/>
          <w:u w:val="none"/>
        </w:rPr>
        <w:t>、对个人和家庭的补助：</w:t>
      </w:r>
      <w:r>
        <w:rPr>
          <w:rFonts w:hint="eastAsia" w:eastAsia="仿宋_GB2312" w:cstheme="minorBidi"/>
          <w:sz w:val="32"/>
          <w:szCs w:val="32"/>
          <w:u w:val="none"/>
        </w:rPr>
        <w:t>是指政府用于对个人和家庭的补助支出。</w:t>
      </w:r>
    </w:p>
    <w:p w14:paraId="75593F64">
      <w:pPr>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lang w:val="en-US" w:eastAsia="zh-CN"/>
        </w:rPr>
        <w:t>六</w:t>
      </w:r>
      <w:r>
        <w:rPr>
          <w:rFonts w:hint="eastAsia" w:eastAsia="仿宋_GB2312" w:cstheme="minorBidi"/>
          <w:b/>
          <w:bCs/>
          <w:sz w:val="32"/>
          <w:szCs w:val="32"/>
          <w:u w:val="none"/>
        </w:rPr>
        <w:t>、“三公”经费：</w:t>
      </w:r>
      <w:r>
        <w:rPr>
          <w:rFonts w:hint="eastAsia" w:eastAsia="仿宋_GB2312" w:cstheme="minorBidi"/>
          <w:sz w:val="32"/>
          <w:szCs w:val="32"/>
          <w:u w:val="none"/>
        </w:rPr>
        <w:t>指部门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14:paraId="41D47CBE">
      <w:pPr>
        <w:spacing w:line="600" w:lineRule="exact"/>
        <w:ind w:firstLine="643" w:firstLineChars="200"/>
        <w:rPr>
          <w:rFonts w:eastAsia="仿宋_GB2312" w:cstheme="minorBidi"/>
          <w:sz w:val="32"/>
          <w:szCs w:val="32"/>
          <w:u w:val="none"/>
        </w:rPr>
      </w:pPr>
      <w:r>
        <w:rPr>
          <w:rFonts w:hint="eastAsia" w:eastAsia="仿宋_GB2312" w:cstheme="minorBidi"/>
          <w:b/>
          <w:bCs/>
          <w:sz w:val="32"/>
          <w:szCs w:val="32"/>
          <w:u w:val="none"/>
          <w:lang w:val="en-US" w:eastAsia="zh-CN"/>
        </w:rPr>
        <w:t>七</w:t>
      </w:r>
      <w:r>
        <w:rPr>
          <w:rFonts w:hint="eastAsia" w:eastAsia="仿宋_GB2312" w:cstheme="minorBidi"/>
          <w:b/>
          <w:bCs/>
          <w:sz w:val="32"/>
          <w:szCs w:val="32"/>
          <w:u w:val="none"/>
        </w:rPr>
        <w:t>、机关运行经费：</w:t>
      </w:r>
      <w:r>
        <w:rPr>
          <w:rFonts w:hint="eastAsia" w:eastAsia="仿宋_GB2312" w:cstheme="minorBidi"/>
          <w:sz w:val="32"/>
          <w:szCs w:val="32"/>
          <w:u w:val="none"/>
        </w:rPr>
        <w:t>指部门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8BD556D">
      <w:pPr>
        <w:spacing w:line="600" w:lineRule="exact"/>
        <w:jc w:val="both"/>
        <w:rPr>
          <w:rFonts w:ascii="方正小标宋简体" w:hAnsi="方正小标宋简体" w:eastAsia="方正小标宋简体" w:cs="方正小标宋简体"/>
          <w:sz w:val="36"/>
          <w:szCs w:val="36"/>
          <w:u w:val="none"/>
        </w:rPr>
      </w:pPr>
      <w:bookmarkStart w:id="0" w:name="_GoBack"/>
      <w:bookmarkEnd w:id="0"/>
    </w:p>
    <w:p w14:paraId="0CA247E1">
      <w:pPr>
        <w:spacing w:line="600" w:lineRule="exact"/>
        <w:jc w:val="center"/>
        <w:rPr>
          <w:rFonts w:ascii="方正小标宋简体" w:hAnsi="方正小标宋简体" w:eastAsia="方正小标宋简体" w:cs="方正小标宋简体"/>
          <w:sz w:val="36"/>
          <w:szCs w:val="36"/>
          <w:u w:val="none"/>
        </w:rPr>
      </w:pPr>
      <w:r>
        <w:rPr>
          <w:rFonts w:hint="eastAsia" w:ascii="方正小标宋简体" w:hAnsi="方正小标宋简体" w:eastAsia="方正小标宋简体" w:cs="方正小标宋简体"/>
          <w:sz w:val="36"/>
          <w:szCs w:val="36"/>
          <w:u w:val="none"/>
        </w:rPr>
        <w:t>第四部分</w:t>
      </w:r>
      <w:r>
        <w:rPr>
          <w:rFonts w:hint="eastAsia" w:ascii="仿宋" w:hAnsi="仿宋" w:eastAsia="仿宋" w:cs="仿宋"/>
          <w:sz w:val="36"/>
          <w:szCs w:val="36"/>
          <w:u w:val="none"/>
        </w:rPr>
        <w:t xml:space="preserve"> </w:t>
      </w:r>
      <w:r>
        <w:rPr>
          <w:rFonts w:hint="eastAsia" w:ascii="方正小标宋简体" w:hAnsi="方正小标宋简体" w:eastAsia="方正小标宋简体" w:cs="方正小标宋简体"/>
          <w:sz w:val="36"/>
          <w:szCs w:val="36"/>
          <w:u w:val="none"/>
        </w:rPr>
        <w:t>预算公开联系方式及信息反馈渠道</w:t>
      </w:r>
    </w:p>
    <w:p w14:paraId="4DE746CA">
      <w:pPr>
        <w:snapToGrid w:val="0"/>
        <w:spacing w:line="600" w:lineRule="exact"/>
        <w:rPr>
          <w:rFonts w:ascii="方正小标宋简体" w:hAnsi="方正小标宋简体" w:eastAsia="方正小标宋简体" w:cs="方正小标宋简体"/>
          <w:sz w:val="36"/>
          <w:szCs w:val="36"/>
          <w:u w:val="none"/>
        </w:rPr>
      </w:pPr>
    </w:p>
    <w:p w14:paraId="23F5BD57">
      <w:pPr>
        <w:snapToGrid w:val="0"/>
        <w:spacing w:line="60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本单位预算公开信息反馈和联系方式：</w:t>
      </w:r>
    </w:p>
    <w:p w14:paraId="4EE05EA0">
      <w:pPr>
        <w:snapToGrid w:val="0"/>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 xml:space="preserve">联系人：  </w:t>
      </w:r>
      <w:r>
        <w:rPr>
          <w:rFonts w:hint="eastAsia" w:ascii="仿宋_GB2312" w:hAnsi="仿宋_GB2312" w:eastAsia="仿宋_GB2312" w:cs="仿宋_GB2312"/>
          <w:sz w:val="32"/>
          <w:szCs w:val="32"/>
          <w:u w:val="none"/>
          <w:lang w:eastAsia="zh-CN"/>
        </w:rPr>
        <w:t>郭丽</w:t>
      </w:r>
      <w:r>
        <w:rPr>
          <w:rFonts w:hint="eastAsia" w:ascii="仿宋_GB2312" w:hAnsi="仿宋_GB2312" w:eastAsia="仿宋_GB2312" w:cs="仿宋_GB2312"/>
          <w:sz w:val="32"/>
          <w:szCs w:val="32"/>
          <w:u w:val="none"/>
        </w:rPr>
        <w:t xml:space="preserve">             联系电话：</w:t>
      </w:r>
      <w:r>
        <w:rPr>
          <w:rFonts w:hint="eastAsia" w:ascii="仿宋_GB2312" w:hAnsi="仿宋_GB2312" w:eastAsia="仿宋_GB2312" w:cs="仿宋_GB2312"/>
          <w:sz w:val="32"/>
          <w:szCs w:val="32"/>
          <w:u w:val="none"/>
          <w:lang w:val="en-US" w:eastAsia="zh-CN"/>
        </w:rPr>
        <w:t>0472-6668670</w:t>
      </w:r>
    </w:p>
    <w:p w14:paraId="186CC35B">
      <w:pPr>
        <w:pStyle w:val="8"/>
        <w:rPr>
          <w:rFonts w:hint="eastAsia" w:ascii="仿宋_GB2312" w:hAnsi="仿宋_GB2312" w:eastAsia="仿宋_GB2312" w:cs="仿宋_GB2312"/>
          <w:sz w:val="32"/>
          <w:szCs w:val="32"/>
          <w:u w:val="none"/>
          <w:lang w:val="en-US" w:eastAsia="zh-CN"/>
        </w:rPr>
      </w:pPr>
    </w:p>
    <w:p w14:paraId="2D58E197">
      <w:pPr>
        <w:rPr>
          <w:rFonts w:hint="eastAsia" w:ascii="仿宋_GB2312" w:hAnsi="仿宋_GB2312" w:eastAsia="仿宋_GB2312" w:cs="仿宋_GB2312"/>
          <w:sz w:val="32"/>
          <w:szCs w:val="32"/>
          <w:u w:val="none"/>
          <w:lang w:val="en-US" w:eastAsia="zh-CN"/>
        </w:rPr>
      </w:pPr>
    </w:p>
    <w:p w14:paraId="46976C1E">
      <w:pPr>
        <w:pStyle w:val="5"/>
        <w:pageBreakBefore w:val="0"/>
        <w:numPr>
          <w:ilvl w:val="0"/>
          <w:numId w:val="0"/>
        </w:numPr>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kern w:val="2"/>
          <w:sz w:val="36"/>
          <w:szCs w:val="36"/>
          <w:u w:val="none"/>
          <w:lang w:val="en-US" w:eastAsia="zh-CN" w:bidi="ar-SA"/>
        </w:rPr>
      </w:pPr>
      <w:r>
        <w:rPr>
          <w:rFonts w:hint="eastAsia" w:ascii="方正小标宋简体" w:hAnsi="方正小标宋简体" w:eastAsia="方正小标宋简体" w:cs="方正小标宋简体"/>
          <w:b w:val="0"/>
          <w:bCs w:val="0"/>
          <w:kern w:val="2"/>
          <w:sz w:val="36"/>
          <w:szCs w:val="36"/>
          <w:u w:val="none"/>
          <w:lang w:val="en-US" w:eastAsia="zh-CN" w:bidi="ar-SA"/>
        </w:rPr>
        <w:t>第</w:t>
      </w:r>
      <w:r>
        <w:rPr>
          <w:rFonts w:hint="eastAsia" w:ascii="方正小标宋简体" w:hAnsi="方正小标宋简体" w:eastAsia="方正小标宋简体" w:cs="方正小标宋简体"/>
          <w:b/>
          <w:bCs/>
          <w:kern w:val="2"/>
          <w:sz w:val="36"/>
          <w:szCs w:val="36"/>
          <w:u w:val="none"/>
          <w:lang w:val="en-US" w:eastAsia="zh-CN" w:bidi="ar-SA"/>
        </w:rPr>
        <w:t>五</w:t>
      </w:r>
      <w:r>
        <w:rPr>
          <w:rFonts w:hint="eastAsia" w:ascii="方正小标宋简体" w:hAnsi="方正小标宋简体" w:eastAsia="方正小标宋简体" w:cs="方正小标宋简体"/>
          <w:b w:val="0"/>
          <w:bCs w:val="0"/>
          <w:kern w:val="2"/>
          <w:sz w:val="36"/>
          <w:szCs w:val="36"/>
          <w:u w:val="none"/>
          <w:lang w:val="en-US" w:eastAsia="zh-CN" w:bidi="ar-SA"/>
        </w:rPr>
        <w:t>部分 2026年度包头市商务局部门预算表</w:t>
      </w:r>
    </w:p>
    <w:p w14:paraId="58DB4453">
      <w:pPr>
        <w:numPr>
          <w:ilvl w:val="0"/>
          <w:numId w:val="0"/>
        </w:numPr>
        <w:rPr>
          <w:rFonts w:hint="eastAsia" w:eastAsia="宋体"/>
          <w:lang w:val="en-US" w:eastAsia="zh-CN"/>
        </w:rPr>
      </w:pPr>
      <w:r>
        <w:rPr>
          <w:rFonts w:hint="eastAsia" w:eastAsia="宋体"/>
          <w:lang w:val="en-US" w:eastAsia="zh-CN"/>
        </w:rPr>
        <w:t xml:space="preserve"> </w:t>
      </w:r>
    </w:p>
    <w:p w14:paraId="2C4B3466">
      <w:pPr>
        <w:pStyle w:val="18"/>
        <w:ind w:left="0" w:leftChars="0"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详见附表</w:t>
      </w:r>
    </w:p>
    <w:p w14:paraId="09E91AD7">
      <w:pPr>
        <w:pStyle w:val="8"/>
      </w:pPr>
    </w:p>
    <w:sectPr>
      <w:footerReference r:id="rId6" w:type="default"/>
      <w:pgSz w:w="11910" w:h="16840"/>
      <w:pgMar w:top="1580" w:right="1080" w:bottom="280" w:left="10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F9217BF-C0B4-4E3C-B6AE-DEB79EDA89B0}"/>
  </w:font>
  <w:font w:name="黑体">
    <w:panose1 w:val="02010609060101010101"/>
    <w:charset w:val="86"/>
    <w:family w:val="auto"/>
    <w:pitch w:val="default"/>
    <w:sig w:usb0="800002BF" w:usb1="38CF7CFA" w:usb2="00000016" w:usb3="00000000" w:csb0="00040001" w:csb1="00000000"/>
    <w:embedRegular r:id="rId2" w:fontKey="{77C5772A-AC98-4F52-B0B4-C734B76616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70E488A8-231B-4CAF-B7CF-5BD764A93E44}"/>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embedRegular r:id="rId4" w:fontKey="{9D930289-467F-4870-900C-E352DFC7E516}"/>
  </w:font>
  <w:font w:name="等线">
    <w:panose1 w:val="02010600030101010101"/>
    <w:charset w:val="86"/>
    <w:family w:val="auto"/>
    <w:pitch w:val="default"/>
    <w:sig w:usb0="A00002BF" w:usb1="38CF7CFA" w:usb2="00000016" w:usb3="00000000" w:csb0="0004000F" w:csb1="00000000"/>
    <w:embedRegular r:id="rId5" w:fontKey="{9CB304A2-FB04-487E-B898-64F903E5EB6E}"/>
  </w:font>
  <w:font w:name="Helvetica">
    <w:altName w:val="Arial"/>
    <w:panose1 w:val="020B0504020202030204"/>
    <w:charset w:val="00"/>
    <w:family w:val="modern"/>
    <w:pitch w:val="default"/>
    <w:sig w:usb0="00000000" w:usb1="00000000" w:usb2="00000000" w:usb3="00000000" w:csb0="00000093" w:csb1="00000000"/>
  </w:font>
  <w:font w:name="Courier">
    <w:altName w:val="Courier New"/>
    <w:panose1 w:val="02060409020205020404"/>
    <w:charset w:val="00"/>
    <w:family w:val="roman"/>
    <w:pitch w:val="default"/>
    <w:sig w:usb0="00000000" w:usb1="00000000" w:usb2="00000000" w:usb3="00000000" w:csb0="00000093" w:csb1="00000000"/>
  </w:font>
  <w:font w:name="Tms Rmn">
    <w:altName w:val="Segoe Print"/>
    <w:panose1 w:val="02020603040505020304"/>
    <w:charset w:val="00"/>
    <w:family w:val="decorative"/>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
    <w:altName w:val="Segoe Print"/>
    <w:panose1 w:val="020B0604020202030204"/>
    <w:charset w:val="00"/>
    <w:family w:val="modern"/>
    <w:pitch w:val="default"/>
    <w:sig w:usb0="00000000" w:usb1="00000000" w:usb2="00000000" w:usb3="00000000" w:csb0="00000001" w:csb1="00000000"/>
  </w:font>
  <w:font w:name="New York">
    <w:altName w:val="Times New Roman"/>
    <w:panose1 w:val="02040503060506020304"/>
    <w:charset w:val="00"/>
    <w:family w:val="decorative"/>
    <w:pitch w:val="default"/>
    <w:sig w:usb0="00000000" w:usb1="00000000" w:usb2="00000000" w:usb3="00000000" w:csb0="00000001" w:csb1="00000000"/>
  </w:font>
  <w:font w:name="Arial Unicode MS">
    <w:panose1 w:val="020B0604020202020204"/>
    <w:charset w:val="86"/>
    <w:family w:val="moder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6" w:fontKey="{E1B9C8AB-8EA8-4FD8-A338-DB51C4EF7914}"/>
  </w:font>
  <w:font w:name="方正小标宋简体">
    <w:altName w:val="黑体"/>
    <w:panose1 w:val="02010601030101010101"/>
    <w:charset w:val="86"/>
    <w:family w:val="script"/>
    <w:pitch w:val="default"/>
    <w:sig w:usb0="00000000" w:usb1="00000000" w:usb2="00000000" w:usb3="00000000" w:csb0="00040000" w:csb1="00000000"/>
    <w:embedRegular r:id="rId7" w:fontKey="{A9F1489E-1812-45C6-9E20-4DD693794BA5}"/>
  </w:font>
  <w:font w:name="Microsoft JhengHei">
    <w:panose1 w:val="020B0604030504040204"/>
    <w:charset w:val="88"/>
    <w:family w:val="swiss"/>
    <w:pitch w:val="default"/>
    <w:sig w:usb0="000002A7" w:usb1="28CF4400" w:usb2="00000016" w:usb3="00000000" w:csb0="00100009" w:csb1="00000000"/>
    <w:embedRegular r:id="rId8" w:fontKey="{C7756E85-1FCF-489A-BAD6-84741E7D1EB5}"/>
  </w:font>
  <w:font w:name="Cambria">
    <w:panose1 w:val="02040503050406030204"/>
    <w:charset w:val="00"/>
    <w:family w:val="roman"/>
    <w:pitch w:val="default"/>
    <w:sig w:usb0="E00006FF" w:usb1="420024FF" w:usb2="02000000" w:usb3="00000000" w:csb0="2000019F" w:csb1="00000000"/>
    <w:embedRegular r:id="rId9" w:fontKey="{8FF11131-2BB5-4328-9570-708C4CB15C07}"/>
  </w:font>
  <w:font w:name="楷体">
    <w:panose1 w:val="02010609060101010101"/>
    <w:charset w:val="86"/>
    <w:family w:val="modern"/>
    <w:pitch w:val="default"/>
    <w:sig w:usb0="800002BF" w:usb1="38CF7CFA" w:usb2="00000016" w:usb3="00000000" w:csb0="00040001" w:csb1="00000000"/>
    <w:embedRegular r:id="rId10" w:fontKey="{615798FD-6B79-4E82-BEDC-B4F132ABA107}"/>
  </w:font>
  <w:font w:name="KSOF439EEF50">
    <w:panose1 w:val="02010609060101010101"/>
    <w:charset w:val="86"/>
    <w:family w:val="auto"/>
    <w:pitch w:val="default"/>
    <w:sig w:usb0="00000001" w:usb1="00000000" w:usb2="00000000" w:usb3="00000000" w:csb0="00040001" w:csb1="00000000"/>
  </w:font>
  <w:font w:name="WPSEMBED1">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FE51">
    <w:pPr>
      <w:pStyle w:val="12"/>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D3100">
                          <w:pPr>
                            <w:pStyle w:val="12"/>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14:paraId="0F8D3100">
                    <w:pPr>
                      <w:pStyle w:val="12"/>
                    </w:pPr>
                    <w:r>
                      <w:fldChar w:fldCharType="begin"/>
                    </w:r>
                    <w:r>
                      <w:instrText xml:space="preserve"> PAGE  \* MERGEFORMAT </w:instrText>
                    </w:r>
                    <w:r>
                      <w:fldChar w:fldCharType="separate"/>
                    </w:r>
                    <w:r>
                      <w:t>- 19 -</w:t>
                    </w:r>
                    <w:r>
                      <w:fldChar w:fldCharType="end"/>
                    </w:r>
                  </w:p>
                </w:txbxContent>
              </v:textbox>
            </v:shape>
          </w:pict>
        </mc:Fallback>
      </mc:AlternateContent>
    </w:r>
  </w:p>
  <w:p w14:paraId="37E60D8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04D3C">
    <w:pPr>
      <w:spacing w:line="176" w:lineRule="auto"/>
      <w:ind w:left="94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D05AF">
    <w:pPr>
      <w:spacing w:line="176" w:lineRule="auto"/>
      <w:jc w:val="right"/>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11"/>
        <w:sz w:val="18"/>
        <w:szCs w:val="18"/>
      </w:rPr>
      <w:t>1</w:t>
    </w:r>
    <w:r>
      <w:rPr>
        <w:rFonts w:ascii="Times New Roman" w:hAnsi="Times New Roman" w:eastAsia="Times New Roman" w:cs="Times New Roman"/>
        <w:spacing w:val="-10"/>
        <w:sz w:val="18"/>
        <w:szCs w:val="18"/>
      </w:rPr>
      <w:t>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8"/>
        <w:sz w:val="18"/>
        <w:szCs w:val="1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24CE1">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2A278"/>
    <w:multiLevelType w:val="singleLevel"/>
    <w:tmpl w:val="9092A278"/>
    <w:lvl w:ilvl="0" w:tentative="0">
      <w:start w:val="1"/>
      <w:numFmt w:val="chineseCounting"/>
      <w:suff w:val="nothing"/>
      <w:lvlText w:val="（%1）"/>
      <w:lvlJc w:val="left"/>
      <w:rPr>
        <w:rFonts w:hint="eastAsia"/>
      </w:rPr>
    </w:lvl>
  </w:abstractNum>
  <w:abstractNum w:abstractNumId="1">
    <w:nsid w:val="BB3F9C55"/>
    <w:multiLevelType w:val="singleLevel"/>
    <w:tmpl w:val="BB3F9C55"/>
    <w:lvl w:ilvl="0" w:tentative="0">
      <w:start w:val="1"/>
      <w:numFmt w:val="chineseCounting"/>
      <w:suff w:val="nothing"/>
      <w:lvlText w:val="（%1）"/>
      <w:lvlJc w:val="left"/>
      <w:rPr>
        <w:rFonts w:hint="eastAsia"/>
      </w:rPr>
    </w:lvl>
  </w:abstractNum>
  <w:abstractNum w:abstractNumId="2">
    <w:nsid w:val="03877800"/>
    <w:multiLevelType w:val="multilevel"/>
    <w:tmpl w:val="03877800"/>
    <w:lvl w:ilvl="0" w:tentative="0">
      <w:start w:val="2"/>
      <w:numFmt w:val="japaneseCounting"/>
      <w:lvlText w:val="（%1）"/>
      <w:lvlJc w:val="left"/>
      <w:pPr>
        <w:ind w:left="1780" w:hanging="1080"/>
      </w:pPr>
      <w:rPr>
        <w:rFonts w:hint="default"/>
      </w:r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abstractNum w:abstractNumId="3">
    <w:nsid w:val="0D7D3F60"/>
    <w:multiLevelType w:val="singleLevel"/>
    <w:tmpl w:val="0D7D3F60"/>
    <w:lvl w:ilvl="0" w:tentative="0">
      <w:start w:val="1"/>
      <w:numFmt w:val="decimal"/>
      <w:suff w:val="nothing"/>
      <w:lvlText w:val="%1．"/>
      <w:lvlJc w:val="left"/>
    </w:lvl>
  </w:abstractNum>
  <w:abstractNum w:abstractNumId="4">
    <w:nsid w:val="3265B7C3"/>
    <w:multiLevelType w:val="singleLevel"/>
    <w:tmpl w:val="3265B7C3"/>
    <w:lvl w:ilvl="0" w:tentative="0">
      <w:start w:val="1"/>
      <w:numFmt w:val="chineseCounting"/>
      <w:suff w:val="nothing"/>
      <w:lvlText w:val="%1、"/>
      <w:lvlJc w:val="left"/>
      <w:rPr>
        <w:rFonts w:hint="eastAsia"/>
      </w:rPr>
    </w:lvl>
  </w:abstractNum>
  <w:abstractNum w:abstractNumId="5">
    <w:nsid w:val="3CA78202"/>
    <w:multiLevelType w:val="singleLevel"/>
    <w:tmpl w:val="3CA78202"/>
    <w:lvl w:ilvl="0" w:tentative="0">
      <w:start w:val="5"/>
      <w:numFmt w:val="chineseCounting"/>
      <w:suff w:val="nothing"/>
      <w:lvlText w:val="（%1）"/>
      <w:lvlJc w:val="left"/>
      <w:rPr>
        <w:rFonts w:hint="eastAsia"/>
      </w:rPr>
    </w:lvl>
  </w:abstractNum>
  <w:abstractNum w:abstractNumId="6">
    <w:nsid w:val="4EC74364"/>
    <w:multiLevelType w:val="singleLevel"/>
    <w:tmpl w:val="4EC74364"/>
    <w:lvl w:ilvl="0" w:tentative="0">
      <w:start w:val="1"/>
      <w:numFmt w:val="chineseCounting"/>
      <w:suff w:val="nothing"/>
      <w:lvlText w:val="%1、"/>
      <w:lvlJc w:val="left"/>
      <w:rPr>
        <w:rFonts w:hint="eastAsia"/>
      </w:rPr>
    </w:lvl>
  </w:abstractNum>
  <w:num w:numId="1">
    <w:abstractNumId w:val="6"/>
  </w:num>
  <w:num w:numId="2">
    <w:abstractNumId w:val="4"/>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val="bestFit" w:percent="14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YTMxM2E3NmRmYzVkNTRiYTNlNjAyM2I2MTkyNGEifQ=="/>
    <w:docVar w:name="KSO_WPS_MARK_KEY" w:val="36cea1a9-aa93-47fe-b176-c693d22ee3df"/>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517C8"/>
    <w:rsid w:val="00052722"/>
    <w:rsid w:val="00052AB3"/>
    <w:rsid w:val="000530B5"/>
    <w:rsid w:val="000547DF"/>
    <w:rsid w:val="0005634A"/>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57A3"/>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EC9"/>
    <w:rsid w:val="001B7FCD"/>
    <w:rsid w:val="001C0CDF"/>
    <w:rsid w:val="001C4010"/>
    <w:rsid w:val="001C6BF1"/>
    <w:rsid w:val="001D3C7E"/>
    <w:rsid w:val="001D6D0B"/>
    <w:rsid w:val="001D7958"/>
    <w:rsid w:val="001E0433"/>
    <w:rsid w:val="001E0815"/>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6E55"/>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1A3B"/>
    <w:rsid w:val="002A25F0"/>
    <w:rsid w:val="002A38DC"/>
    <w:rsid w:val="002A3F94"/>
    <w:rsid w:val="002A4CC2"/>
    <w:rsid w:val="002B0E96"/>
    <w:rsid w:val="002B21CC"/>
    <w:rsid w:val="002B3658"/>
    <w:rsid w:val="002B37C5"/>
    <w:rsid w:val="002B7E88"/>
    <w:rsid w:val="002D028A"/>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233C5"/>
    <w:rsid w:val="0033160F"/>
    <w:rsid w:val="00331DB0"/>
    <w:rsid w:val="003337F4"/>
    <w:rsid w:val="00334CE7"/>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4972"/>
    <w:rsid w:val="003B4A14"/>
    <w:rsid w:val="003B5570"/>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1737"/>
    <w:rsid w:val="00467117"/>
    <w:rsid w:val="00467D70"/>
    <w:rsid w:val="00467DC5"/>
    <w:rsid w:val="004702DB"/>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1F"/>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0091"/>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03B4"/>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3D31"/>
    <w:rsid w:val="007C4FA1"/>
    <w:rsid w:val="007D2F2B"/>
    <w:rsid w:val="007D48A4"/>
    <w:rsid w:val="007D719A"/>
    <w:rsid w:val="007E11AF"/>
    <w:rsid w:val="007E1A50"/>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41B6"/>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340D"/>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469B5"/>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A5F8F"/>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6F"/>
    <w:rsid w:val="00A503E5"/>
    <w:rsid w:val="00A509FD"/>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23F"/>
    <w:rsid w:val="00A93929"/>
    <w:rsid w:val="00A9509B"/>
    <w:rsid w:val="00A963E4"/>
    <w:rsid w:val="00A97C90"/>
    <w:rsid w:val="00AA15A6"/>
    <w:rsid w:val="00AA182F"/>
    <w:rsid w:val="00AA3F58"/>
    <w:rsid w:val="00AA4775"/>
    <w:rsid w:val="00AA4870"/>
    <w:rsid w:val="00AA6B5D"/>
    <w:rsid w:val="00AB1D83"/>
    <w:rsid w:val="00AB5668"/>
    <w:rsid w:val="00AB587E"/>
    <w:rsid w:val="00AB6697"/>
    <w:rsid w:val="00AC0CA3"/>
    <w:rsid w:val="00AC24D8"/>
    <w:rsid w:val="00AC2F0E"/>
    <w:rsid w:val="00AC6329"/>
    <w:rsid w:val="00AC6B22"/>
    <w:rsid w:val="00AD13AD"/>
    <w:rsid w:val="00AE08D3"/>
    <w:rsid w:val="00AE225B"/>
    <w:rsid w:val="00AE46A4"/>
    <w:rsid w:val="00AE535D"/>
    <w:rsid w:val="00AE69CE"/>
    <w:rsid w:val="00AF08E9"/>
    <w:rsid w:val="00AF0B26"/>
    <w:rsid w:val="00AF0EBF"/>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318C"/>
    <w:rsid w:val="00C34F6D"/>
    <w:rsid w:val="00C3720A"/>
    <w:rsid w:val="00C41DCA"/>
    <w:rsid w:val="00C45720"/>
    <w:rsid w:val="00C51934"/>
    <w:rsid w:val="00C549B2"/>
    <w:rsid w:val="00C55715"/>
    <w:rsid w:val="00C56FA8"/>
    <w:rsid w:val="00C61C00"/>
    <w:rsid w:val="00C62802"/>
    <w:rsid w:val="00C6346F"/>
    <w:rsid w:val="00C679E4"/>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47761"/>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EF7E81"/>
    <w:rsid w:val="00F021CF"/>
    <w:rsid w:val="00F05B0F"/>
    <w:rsid w:val="00F1047D"/>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11778C7"/>
    <w:rsid w:val="03C84930"/>
    <w:rsid w:val="03DA1659"/>
    <w:rsid w:val="03DF7E09"/>
    <w:rsid w:val="048320BB"/>
    <w:rsid w:val="04B563C2"/>
    <w:rsid w:val="05531A54"/>
    <w:rsid w:val="05AA4746"/>
    <w:rsid w:val="05AB1B85"/>
    <w:rsid w:val="05F92C68"/>
    <w:rsid w:val="06516CA4"/>
    <w:rsid w:val="06571B7A"/>
    <w:rsid w:val="077111CE"/>
    <w:rsid w:val="0772575A"/>
    <w:rsid w:val="07DA3A8F"/>
    <w:rsid w:val="08397703"/>
    <w:rsid w:val="089D7C92"/>
    <w:rsid w:val="09650E26"/>
    <w:rsid w:val="09C92DD3"/>
    <w:rsid w:val="09CF6E4B"/>
    <w:rsid w:val="0A2F0DBE"/>
    <w:rsid w:val="0A304853"/>
    <w:rsid w:val="0A4D6FF5"/>
    <w:rsid w:val="0B6B045B"/>
    <w:rsid w:val="0BBF010A"/>
    <w:rsid w:val="0BD554C2"/>
    <w:rsid w:val="0BDD6EC9"/>
    <w:rsid w:val="0D74027F"/>
    <w:rsid w:val="0E7B4525"/>
    <w:rsid w:val="0FD33ADA"/>
    <w:rsid w:val="105829A2"/>
    <w:rsid w:val="10767327"/>
    <w:rsid w:val="11304CEB"/>
    <w:rsid w:val="11AE1210"/>
    <w:rsid w:val="11AF4DCB"/>
    <w:rsid w:val="128554E3"/>
    <w:rsid w:val="12955111"/>
    <w:rsid w:val="12CC6E6D"/>
    <w:rsid w:val="13806E42"/>
    <w:rsid w:val="13A607E7"/>
    <w:rsid w:val="140E7482"/>
    <w:rsid w:val="1440520B"/>
    <w:rsid w:val="14737EE6"/>
    <w:rsid w:val="166777E0"/>
    <w:rsid w:val="16F60410"/>
    <w:rsid w:val="17BC5001"/>
    <w:rsid w:val="183A0A1F"/>
    <w:rsid w:val="198C1D89"/>
    <w:rsid w:val="1A5D4A83"/>
    <w:rsid w:val="1B74013C"/>
    <w:rsid w:val="1C6C1044"/>
    <w:rsid w:val="1CFA34AD"/>
    <w:rsid w:val="1E0D2BED"/>
    <w:rsid w:val="1E3C1F23"/>
    <w:rsid w:val="1E591AD6"/>
    <w:rsid w:val="1E7E0B55"/>
    <w:rsid w:val="1F14499E"/>
    <w:rsid w:val="1F5B26C7"/>
    <w:rsid w:val="203A4DF7"/>
    <w:rsid w:val="2086628A"/>
    <w:rsid w:val="224109E7"/>
    <w:rsid w:val="22A144DF"/>
    <w:rsid w:val="22D504B3"/>
    <w:rsid w:val="22EB689E"/>
    <w:rsid w:val="2472310C"/>
    <w:rsid w:val="248F5419"/>
    <w:rsid w:val="249C2E00"/>
    <w:rsid w:val="26CE5027"/>
    <w:rsid w:val="27F62AEE"/>
    <w:rsid w:val="28077CE4"/>
    <w:rsid w:val="280D4A45"/>
    <w:rsid w:val="284C7702"/>
    <w:rsid w:val="2866365B"/>
    <w:rsid w:val="2A460570"/>
    <w:rsid w:val="2A5660E4"/>
    <w:rsid w:val="2B9D683D"/>
    <w:rsid w:val="2BDD6474"/>
    <w:rsid w:val="2CF23FA9"/>
    <w:rsid w:val="2DDE2C59"/>
    <w:rsid w:val="2E50057C"/>
    <w:rsid w:val="2F204A26"/>
    <w:rsid w:val="2F3045A4"/>
    <w:rsid w:val="2F567AA0"/>
    <w:rsid w:val="30043F67"/>
    <w:rsid w:val="309F5392"/>
    <w:rsid w:val="30D35A38"/>
    <w:rsid w:val="3161171F"/>
    <w:rsid w:val="319A28B2"/>
    <w:rsid w:val="319D059C"/>
    <w:rsid w:val="3276083D"/>
    <w:rsid w:val="33905BDA"/>
    <w:rsid w:val="339B19D0"/>
    <w:rsid w:val="339D76A1"/>
    <w:rsid w:val="34666500"/>
    <w:rsid w:val="34AA2099"/>
    <w:rsid w:val="3508551A"/>
    <w:rsid w:val="359C0F7A"/>
    <w:rsid w:val="37776170"/>
    <w:rsid w:val="378B37C3"/>
    <w:rsid w:val="37BE57F0"/>
    <w:rsid w:val="37E95EDF"/>
    <w:rsid w:val="38251936"/>
    <w:rsid w:val="383B0BDA"/>
    <w:rsid w:val="38F2725A"/>
    <w:rsid w:val="3941563D"/>
    <w:rsid w:val="39C037CE"/>
    <w:rsid w:val="3A202CDA"/>
    <w:rsid w:val="3A86167D"/>
    <w:rsid w:val="3AE332B3"/>
    <w:rsid w:val="3C8C247C"/>
    <w:rsid w:val="3D65545B"/>
    <w:rsid w:val="3DB931EA"/>
    <w:rsid w:val="3E7C6D69"/>
    <w:rsid w:val="3FA119B7"/>
    <w:rsid w:val="3FBA7E41"/>
    <w:rsid w:val="3FD50E6A"/>
    <w:rsid w:val="40177DE3"/>
    <w:rsid w:val="40976810"/>
    <w:rsid w:val="4157576C"/>
    <w:rsid w:val="417A1877"/>
    <w:rsid w:val="422711D3"/>
    <w:rsid w:val="42414B5A"/>
    <w:rsid w:val="42C2474E"/>
    <w:rsid w:val="432253DD"/>
    <w:rsid w:val="43501007"/>
    <w:rsid w:val="43863DDA"/>
    <w:rsid w:val="444939F2"/>
    <w:rsid w:val="45551365"/>
    <w:rsid w:val="455B6821"/>
    <w:rsid w:val="45634E37"/>
    <w:rsid w:val="457A104F"/>
    <w:rsid w:val="45DD265B"/>
    <w:rsid w:val="467938A1"/>
    <w:rsid w:val="46AB1EF3"/>
    <w:rsid w:val="476F66C2"/>
    <w:rsid w:val="482809DA"/>
    <w:rsid w:val="4A0B7731"/>
    <w:rsid w:val="4A3A7537"/>
    <w:rsid w:val="4A9A751F"/>
    <w:rsid w:val="4AB8212E"/>
    <w:rsid w:val="4AE10089"/>
    <w:rsid w:val="4B177614"/>
    <w:rsid w:val="4B3A3DE4"/>
    <w:rsid w:val="4B77032C"/>
    <w:rsid w:val="4B852596"/>
    <w:rsid w:val="4BCA4DC2"/>
    <w:rsid w:val="4C335168"/>
    <w:rsid w:val="4CC43F74"/>
    <w:rsid w:val="4D3806BD"/>
    <w:rsid w:val="4D6633E5"/>
    <w:rsid w:val="4D9E6672"/>
    <w:rsid w:val="4FA56487"/>
    <w:rsid w:val="4FC44EDC"/>
    <w:rsid w:val="50997532"/>
    <w:rsid w:val="51D0079D"/>
    <w:rsid w:val="52C12FB4"/>
    <w:rsid w:val="53097B05"/>
    <w:rsid w:val="535B5D4C"/>
    <w:rsid w:val="53700418"/>
    <w:rsid w:val="53866EE0"/>
    <w:rsid w:val="538F587F"/>
    <w:rsid w:val="54264973"/>
    <w:rsid w:val="544A5E55"/>
    <w:rsid w:val="544E2FF3"/>
    <w:rsid w:val="551E7F0E"/>
    <w:rsid w:val="55AB3C25"/>
    <w:rsid w:val="55B95F2B"/>
    <w:rsid w:val="55D63612"/>
    <w:rsid w:val="55D9538F"/>
    <w:rsid w:val="55DB5323"/>
    <w:rsid w:val="56935D56"/>
    <w:rsid w:val="56B137E7"/>
    <w:rsid w:val="59654F1B"/>
    <w:rsid w:val="5A0644ED"/>
    <w:rsid w:val="5A650D5A"/>
    <w:rsid w:val="5A8E6B50"/>
    <w:rsid w:val="5B526E3B"/>
    <w:rsid w:val="5BB52C78"/>
    <w:rsid w:val="5CAA52BB"/>
    <w:rsid w:val="5D176670"/>
    <w:rsid w:val="5E7C7C2C"/>
    <w:rsid w:val="5EFB5FCF"/>
    <w:rsid w:val="60976762"/>
    <w:rsid w:val="615674ED"/>
    <w:rsid w:val="61744EA1"/>
    <w:rsid w:val="61FF5C9C"/>
    <w:rsid w:val="637048DB"/>
    <w:rsid w:val="63E55E2D"/>
    <w:rsid w:val="64AA146F"/>
    <w:rsid w:val="65335497"/>
    <w:rsid w:val="65D76172"/>
    <w:rsid w:val="66210916"/>
    <w:rsid w:val="66C77325"/>
    <w:rsid w:val="683B6754"/>
    <w:rsid w:val="68931D4F"/>
    <w:rsid w:val="68C6406F"/>
    <w:rsid w:val="68FC3120"/>
    <w:rsid w:val="6A1638AD"/>
    <w:rsid w:val="6AED4CF0"/>
    <w:rsid w:val="6B4551DF"/>
    <w:rsid w:val="6B9E2823"/>
    <w:rsid w:val="6BDE0E82"/>
    <w:rsid w:val="6C7B77BD"/>
    <w:rsid w:val="6C992C34"/>
    <w:rsid w:val="6CA95923"/>
    <w:rsid w:val="6D756958"/>
    <w:rsid w:val="6DA21462"/>
    <w:rsid w:val="6F257EDB"/>
    <w:rsid w:val="6F5117AB"/>
    <w:rsid w:val="70076BE8"/>
    <w:rsid w:val="70203136"/>
    <w:rsid w:val="718B3849"/>
    <w:rsid w:val="719049A6"/>
    <w:rsid w:val="73656E86"/>
    <w:rsid w:val="7377015A"/>
    <w:rsid w:val="739D2BFF"/>
    <w:rsid w:val="745A1CDE"/>
    <w:rsid w:val="75A01A91"/>
    <w:rsid w:val="75A62E64"/>
    <w:rsid w:val="75BB53FD"/>
    <w:rsid w:val="75E96582"/>
    <w:rsid w:val="761146D7"/>
    <w:rsid w:val="76470CAA"/>
    <w:rsid w:val="764D1082"/>
    <w:rsid w:val="766F2799"/>
    <w:rsid w:val="773B6256"/>
    <w:rsid w:val="7750746E"/>
    <w:rsid w:val="78D72F29"/>
    <w:rsid w:val="7985571A"/>
    <w:rsid w:val="7A6310AB"/>
    <w:rsid w:val="7BF3685D"/>
    <w:rsid w:val="7C3F6693"/>
    <w:rsid w:val="7D07233B"/>
    <w:rsid w:val="7D40391F"/>
    <w:rsid w:val="7DF96BCA"/>
    <w:rsid w:val="7E1221D6"/>
    <w:rsid w:val="7E1251F4"/>
    <w:rsid w:val="7E6416AA"/>
    <w:rsid w:val="7EE66F59"/>
    <w:rsid w:val="7F1A6E76"/>
    <w:rsid w:val="7F1F783D"/>
    <w:rsid w:val="7FAF396D"/>
    <w:rsid w:val="7FF65346"/>
    <w:rsid w:val="E46DF715"/>
    <w:rsid w:val="EBBBE663"/>
    <w:rsid w:val="F5D50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2">
    <w:name w:val="heading 1"/>
    <w:basedOn w:val="1"/>
    <w:next w:val="1"/>
    <w:qFormat/>
    <w:uiPriority w:val="1"/>
    <w:pPr>
      <w:keepNext/>
      <w:keepLines/>
      <w:spacing w:before="340" w:after="330" w:line="576" w:lineRule="auto"/>
      <w:outlineLvl w:val="0"/>
    </w:pPr>
    <w:rPr>
      <w:b/>
      <w:kern w:val="44"/>
      <w:sz w:val="44"/>
    </w:rPr>
  </w:style>
  <w:style w:type="paragraph" w:styleId="3">
    <w:name w:val="heading 2"/>
    <w:basedOn w:val="1"/>
    <w:next w:val="1"/>
    <w:link w:val="30"/>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4">
    <w:name w:val="heading 3"/>
    <w:basedOn w:val="1"/>
    <w:next w:val="1"/>
    <w:unhideWhenUsed/>
    <w:qFormat/>
    <w:uiPriority w:val="1"/>
    <w:pPr>
      <w:keepNext/>
      <w:keepLines/>
      <w:spacing w:before="260" w:after="260" w:line="413" w:lineRule="auto"/>
      <w:outlineLvl w:val="2"/>
    </w:pPr>
    <w:rPr>
      <w:b/>
      <w:sz w:val="32"/>
    </w:rPr>
  </w:style>
  <w:style w:type="paragraph" w:styleId="5">
    <w:name w:val="heading 4"/>
    <w:basedOn w:val="1"/>
    <w:next w:val="1"/>
    <w:link w:val="3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unhideWhenUsed/>
    <w:qFormat/>
    <w:uiPriority w:val="1"/>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7">
    <w:name w:val="Normal Indent"/>
    <w:basedOn w:val="1"/>
    <w:next w:val="8"/>
    <w:qFormat/>
    <w:uiPriority w:val="0"/>
    <w:pPr>
      <w:spacing w:line="360" w:lineRule="auto"/>
      <w:ind w:firstLine="420" w:firstLineChars="200"/>
      <w:jc w:val="left"/>
    </w:pPr>
    <w:rPr>
      <w:rFonts w:ascii="仿宋_GB2312" w:hAnsi="Arial" w:eastAsia="仿宋_GB2312"/>
      <w:kern w:val="0"/>
      <w:sz w:val="30"/>
      <w:szCs w:val="30"/>
    </w:rPr>
  </w:style>
  <w:style w:type="paragraph" w:styleId="8">
    <w:name w:val="Body Text"/>
    <w:basedOn w:val="1"/>
    <w:link w:val="34"/>
    <w:unhideWhenUsed/>
    <w:qFormat/>
    <w:uiPriority w:val="1"/>
    <w:pPr>
      <w:spacing w:after="120"/>
    </w:pPr>
  </w:style>
  <w:style w:type="paragraph" w:styleId="9">
    <w:name w:val="annotation text"/>
    <w:basedOn w:val="1"/>
    <w:link w:val="26"/>
    <w:unhideWhenUsed/>
    <w:qFormat/>
    <w:uiPriority w:val="99"/>
    <w:pPr>
      <w:jc w:val="left"/>
    </w:pPr>
  </w:style>
  <w:style w:type="paragraph" w:styleId="10">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11">
    <w:name w:val="Balloon Text"/>
    <w:basedOn w:val="1"/>
    <w:link w:val="36"/>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5">
    <w:name w:val="Subtitle"/>
    <w:basedOn w:val="1"/>
    <w:next w:val="1"/>
    <w:link w:val="29"/>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6">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7">
    <w:name w:val="annotation subject"/>
    <w:basedOn w:val="9"/>
    <w:next w:val="9"/>
    <w:link w:val="27"/>
    <w:unhideWhenUsed/>
    <w:qFormat/>
    <w:uiPriority w:val="99"/>
    <w:rPr>
      <w:b/>
      <w:bCs/>
    </w:rPr>
  </w:style>
  <w:style w:type="paragraph" w:styleId="18">
    <w:name w:val="Body Text First Indent 2"/>
    <w:basedOn w:val="10"/>
    <w:qFormat/>
    <w:uiPriority w:val="0"/>
    <w:pPr>
      <w:ind w:firstLine="42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页眉 字符"/>
    <w:basedOn w:val="21"/>
    <w:link w:val="13"/>
    <w:qFormat/>
    <w:uiPriority w:val="99"/>
    <w:rPr>
      <w:sz w:val="18"/>
      <w:szCs w:val="18"/>
    </w:rPr>
  </w:style>
  <w:style w:type="character" w:customStyle="1" w:styleId="25">
    <w:name w:val="页脚 字符"/>
    <w:basedOn w:val="21"/>
    <w:link w:val="12"/>
    <w:qFormat/>
    <w:uiPriority w:val="99"/>
    <w:rPr>
      <w:sz w:val="18"/>
      <w:szCs w:val="18"/>
    </w:rPr>
  </w:style>
  <w:style w:type="character" w:customStyle="1" w:styleId="26">
    <w:name w:val="批注文字 字符"/>
    <w:basedOn w:val="21"/>
    <w:link w:val="9"/>
    <w:qFormat/>
    <w:uiPriority w:val="99"/>
    <w:rPr>
      <w:rFonts w:ascii="Times New Roman" w:hAnsi="Times New Roman" w:eastAsia="Courier New" w:cs="Times New Roman"/>
      <w:szCs w:val="21"/>
    </w:rPr>
  </w:style>
  <w:style w:type="character" w:customStyle="1" w:styleId="27">
    <w:name w:val="批注主题 字符"/>
    <w:basedOn w:val="26"/>
    <w:link w:val="17"/>
    <w:semiHidden/>
    <w:qFormat/>
    <w:uiPriority w:val="99"/>
    <w:rPr>
      <w:rFonts w:ascii="Times New Roman" w:hAnsi="Times New Roman" w:eastAsia="Courier New" w:cs="Times New Roman"/>
      <w:b/>
      <w:bCs/>
      <w:szCs w:val="21"/>
    </w:rPr>
  </w:style>
  <w:style w:type="paragraph" w:customStyle="1" w:styleId="28">
    <w:name w:val="独立格式"/>
    <w:basedOn w:val="15"/>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29">
    <w:name w:val="副标题 字符"/>
    <w:basedOn w:val="21"/>
    <w:link w:val="15"/>
    <w:qFormat/>
    <w:uiPriority w:val="11"/>
    <w:rPr>
      <w:b/>
      <w:bCs/>
      <w:kern w:val="28"/>
      <w:sz w:val="32"/>
      <w:szCs w:val="32"/>
    </w:rPr>
  </w:style>
  <w:style w:type="character" w:customStyle="1" w:styleId="30">
    <w:name w:val="标题 2 字符"/>
    <w:basedOn w:val="21"/>
    <w:link w:val="3"/>
    <w:qFormat/>
    <w:uiPriority w:val="9"/>
    <w:rPr>
      <w:rFonts w:ascii="Arial" w:hAnsi="Arial" w:eastAsia="Symbol" w:cs="Times New Roman"/>
      <w:b/>
      <w:bCs/>
      <w:sz w:val="32"/>
      <w:szCs w:val="32"/>
    </w:rPr>
  </w:style>
  <w:style w:type="paragraph" w:customStyle="1" w:styleId="31">
    <w:name w:val="表格名称"/>
    <w:basedOn w:val="1"/>
    <w:qFormat/>
    <w:uiPriority w:val="0"/>
    <w:pPr>
      <w:spacing w:line="360" w:lineRule="auto"/>
      <w:jc w:val="center"/>
    </w:pPr>
    <w:rPr>
      <w:rFonts w:eastAsia="Helv" w:cs="New York"/>
      <w:b/>
      <w:sz w:val="24"/>
      <w:szCs w:val="24"/>
    </w:rPr>
  </w:style>
  <w:style w:type="paragraph" w:customStyle="1" w:styleId="32">
    <w:name w:val="表格文字"/>
    <w:basedOn w:val="28"/>
    <w:next w:val="1"/>
    <w:qFormat/>
    <w:uiPriority w:val="0"/>
    <w:pPr>
      <w:spacing w:line="360" w:lineRule="exact"/>
    </w:pPr>
    <w:rPr>
      <w:rFonts w:eastAsia="Helv" w:cs="New York"/>
      <w:sz w:val="24"/>
    </w:rPr>
  </w:style>
  <w:style w:type="character" w:customStyle="1" w:styleId="33">
    <w:name w:val="标题 5 字符"/>
    <w:basedOn w:val="21"/>
    <w:link w:val="6"/>
    <w:semiHidden/>
    <w:qFormat/>
    <w:uiPriority w:val="9"/>
    <w:rPr>
      <w:rFonts w:ascii="Times New Roman" w:hAnsi="Times New Roman" w:eastAsia="Courier New" w:cs="Times New Roman"/>
      <w:b/>
      <w:bCs/>
      <w:sz w:val="28"/>
      <w:szCs w:val="28"/>
    </w:rPr>
  </w:style>
  <w:style w:type="character" w:customStyle="1" w:styleId="34">
    <w:name w:val="正文文本 字符"/>
    <w:basedOn w:val="21"/>
    <w:link w:val="8"/>
    <w:semiHidden/>
    <w:qFormat/>
    <w:uiPriority w:val="99"/>
    <w:rPr>
      <w:rFonts w:ascii="Times New Roman" w:hAnsi="Times New Roman" w:eastAsia="Courier New" w:cs="Times New Roman"/>
      <w:szCs w:val="21"/>
    </w:rPr>
  </w:style>
  <w:style w:type="character" w:customStyle="1" w:styleId="35">
    <w:name w:val="标题 4 字符"/>
    <w:basedOn w:val="21"/>
    <w:link w:val="5"/>
    <w:semiHidden/>
    <w:qFormat/>
    <w:uiPriority w:val="9"/>
    <w:rPr>
      <w:rFonts w:asciiTheme="majorHAnsi" w:hAnsiTheme="majorHAnsi" w:eastAsiaTheme="majorEastAsia" w:cstheme="majorBidi"/>
      <w:b/>
      <w:bCs/>
      <w:sz w:val="28"/>
      <w:szCs w:val="28"/>
    </w:rPr>
  </w:style>
  <w:style w:type="character" w:customStyle="1" w:styleId="36">
    <w:name w:val="批注框文本 字符"/>
    <w:basedOn w:val="21"/>
    <w:link w:val="11"/>
    <w:semiHidden/>
    <w:qFormat/>
    <w:uiPriority w:val="99"/>
    <w:rPr>
      <w:rFonts w:ascii="Times New Roman" w:hAnsi="Times New Roman" w:eastAsia="Courier New" w:cs="Times New Roman"/>
      <w:kern w:val="2"/>
      <w:sz w:val="18"/>
      <w:szCs w:val="18"/>
    </w:rPr>
  </w:style>
  <w:style w:type="table" w:customStyle="1" w:styleId="37">
    <w:name w:val="Table Normal"/>
    <w:unhideWhenUsed/>
    <w:qFormat/>
    <w:uiPriority w:val="2"/>
    <w:tblPr>
      <w:tblCellMar>
        <w:top w:w="0" w:type="dxa"/>
        <w:left w:w="0" w:type="dxa"/>
        <w:bottom w:w="0" w:type="dxa"/>
        <w:right w:w="0" w:type="dxa"/>
      </w:tblCellMar>
    </w:tblPr>
  </w:style>
  <w:style w:type="paragraph" w:customStyle="1" w:styleId="38">
    <w:name w:val="列表段落1"/>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39">
    <w:name w:val="Table Paragraph"/>
    <w:basedOn w:val="1"/>
    <w:qFormat/>
    <w:uiPriority w:val="1"/>
    <w:pPr>
      <w:autoSpaceDE w:val="0"/>
      <w:autoSpaceDN w:val="0"/>
      <w:jc w:val="left"/>
    </w:pPr>
    <w:rPr>
      <w:rFonts w:ascii="宋体" w:hAnsi="宋体" w:eastAsia="宋体" w:cs="宋体"/>
      <w:kern w:val="0"/>
      <w:sz w:val="22"/>
      <w:szCs w:val="22"/>
      <w:lang w:eastAsia="en-US"/>
    </w:rPr>
  </w:style>
  <w:style w:type="paragraph" w:styleId="40">
    <w:name w:val="List Paragraph"/>
    <w:basedOn w:val="1"/>
    <w:qFormat/>
    <w:uiPriority w:val="99"/>
    <w:pPr>
      <w:ind w:firstLine="420" w:firstLineChars="200"/>
    </w:pPr>
  </w:style>
  <w:style w:type="paragraph" w:customStyle="1" w:styleId="41">
    <w:name w:val="Table Text"/>
    <w:basedOn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585</Words>
  <Characters>609</Characters>
  <Lines>77</Lines>
  <Paragraphs>21</Paragraphs>
  <TotalTime>15</TotalTime>
  <ScaleCrop>false</ScaleCrop>
  <LinksUpToDate>false</LinksUpToDate>
  <CharactersWithSpaces>624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2022-09-07T01:41:00Z</dcterms:created>
  <dc:creator>Richard Meng</dc:creator>
  <cp:lastModifiedBy>#￥&amp;＆＆</cp:lastModifiedBy>
  <cp:lastPrinted>2022-09-03T08:20:00Z</cp:lastPrinted>
  <dcterms:modified xsi:type="dcterms:W3CDTF">2026-02-04T05:27:54Z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2E39E4340AF341608816A0D0B997E5F4_13</vt:lpwstr>
  </property>
  <property fmtid="{D5CDD505-2E9C-101B-9397-08002B2CF9AE}" pid="4" name="commondata">
    <vt:lpwstr>eyJoZGlkIjoiMDUyZTZiOWNhNTRkM2JiNDQwZWRmZDZjZTIwNDhiY2IifQ==</vt:lpwstr>
  </property>
  <property fmtid="{D5CDD505-2E9C-101B-9397-08002B2CF9AE}" pid="5" name="KSOTemplateDocerSaveRecord">
    <vt:lpwstr>eyJoZGlkIjoiZmEzNDhiZGVjODc1NzJmNGY3NzFiNTIyMGIzOTBlMzIiLCJ1c2VySWQiOiIzNDcwNDMzNDIifQ==</vt:lpwstr>
  </property>
</Properties>
</file>